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宋体" w:asciiTheme="minorEastAsia" w:hAnsiTheme="minorEastAsia" w:eastAsiaTheme="minorEastAsia"/>
          <w:b/>
          <w:bCs/>
          <w:kern w:val="0"/>
          <w:sz w:val="30"/>
          <w:szCs w:val="30"/>
        </w:rPr>
      </w:pPr>
      <w:bookmarkStart w:id="0" w:name="_Hlk111726263"/>
      <w:r>
        <w:rPr>
          <w:rFonts w:hint="eastAsia" w:cs="宋体" w:asciiTheme="minorEastAsia" w:hAnsiTheme="minorEastAsia" w:eastAsiaTheme="minorEastAsia"/>
          <w:b/>
          <w:bCs/>
          <w:kern w:val="0"/>
          <w:sz w:val="30"/>
          <w:szCs w:val="30"/>
        </w:rPr>
        <w:t>附件：</w:t>
      </w:r>
    </w:p>
    <w:p>
      <w:pPr>
        <w:jc w:val="center"/>
        <w:rPr>
          <w:rFonts w:ascii="黑体" w:eastAsia="黑体" w:cs="宋体"/>
          <w:b/>
          <w:bCs/>
          <w:kern w:val="0"/>
          <w:sz w:val="36"/>
          <w:szCs w:val="36"/>
        </w:rPr>
      </w:pPr>
      <w:bookmarkStart w:id="6" w:name="_GoBack"/>
      <w:r>
        <w:rPr>
          <w:rFonts w:hint="eastAsia" w:ascii="黑体" w:eastAsia="黑体" w:cs="宋体"/>
          <w:b/>
          <w:bCs/>
          <w:kern w:val="0"/>
          <w:sz w:val="36"/>
          <w:szCs w:val="36"/>
        </w:rPr>
        <w:t>化工工程</w:t>
      </w:r>
      <w:bookmarkStart w:id="1" w:name="_Hlk111714400"/>
      <w:r>
        <w:rPr>
          <w:rFonts w:hint="eastAsia" w:ascii="黑体" w:eastAsia="黑体" w:cs="宋体"/>
          <w:b/>
          <w:bCs/>
          <w:kern w:val="0"/>
          <w:sz w:val="36"/>
          <w:szCs w:val="36"/>
        </w:rPr>
        <w:t>建设全过程质量控制专项</w:t>
      </w:r>
    </w:p>
    <w:p>
      <w:pPr>
        <w:jc w:val="center"/>
        <w:rPr>
          <w:rFonts w:ascii="黑体" w:eastAsia="黑体" w:cs="宋体"/>
          <w:b/>
          <w:bCs/>
          <w:kern w:val="0"/>
          <w:sz w:val="36"/>
          <w:szCs w:val="36"/>
        </w:rPr>
      </w:pPr>
      <w:r>
        <w:rPr>
          <w:rFonts w:hint="eastAsia" w:ascii="黑体" w:eastAsia="黑体" w:cs="宋体"/>
          <w:b/>
          <w:bCs/>
          <w:kern w:val="0"/>
          <w:sz w:val="36"/>
          <w:szCs w:val="36"/>
        </w:rPr>
        <w:t>咨询服务</w:t>
      </w:r>
      <w:bookmarkEnd w:id="0"/>
      <w:bookmarkEnd w:id="1"/>
      <w:r>
        <w:rPr>
          <w:rFonts w:hint="eastAsia" w:ascii="黑体" w:eastAsia="黑体" w:cs="宋体"/>
          <w:b/>
          <w:bCs/>
          <w:kern w:val="0"/>
          <w:sz w:val="36"/>
          <w:szCs w:val="36"/>
        </w:rPr>
        <w:t>管理办法（试行）</w:t>
      </w:r>
      <w:bookmarkEnd w:id="6"/>
    </w:p>
    <w:p>
      <w:pPr>
        <w:adjustRightInd w:val="0"/>
        <w:snapToGrid w:val="0"/>
        <w:spacing w:line="360" w:lineRule="auto"/>
        <w:jc w:val="center"/>
        <w:rPr>
          <w:rFonts w:ascii="宋体" w:hAnsi="宋体"/>
          <w:b/>
          <w:sz w:val="28"/>
          <w:szCs w:val="28"/>
        </w:rPr>
      </w:pPr>
    </w:p>
    <w:p>
      <w:pPr>
        <w:adjustRightInd w:val="0"/>
        <w:snapToGrid w:val="0"/>
        <w:spacing w:line="360" w:lineRule="auto"/>
        <w:jc w:val="center"/>
        <w:rPr>
          <w:rFonts w:ascii="宋体" w:hAnsi="宋体"/>
          <w:sz w:val="28"/>
          <w:szCs w:val="28"/>
        </w:rPr>
      </w:pPr>
      <w:r>
        <w:rPr>
          <w:rFonts w:hint="eastAsia" w:ascii="宋体" w:hAnsi="宋体"/>
          <w:b/>
          <w:sz w:val="28"/>
          <w:szCs w:val="28"/>
        </w:rPr>
        <w:t>第一章 总则</w:t>
      </w:r>
    </w:p>
    <w:p>
      <w:pPr>
        <w:adjustRightInd w:val="0"/>
        <w:snapToGri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b/>
          <w:sz w:val="28"/>
          <w:szCs w:val="28"/>
        </w:rPr>
        <w:t xml:space="preserve"> </w:t>
      </w:r>
      <w:r>
        <w:rPr>
          <w:rFonts w:ascii="宋体" w:hAnsi="宋体"/>
          <w:b/>
          <w:sz w:val="28"/>
          <w:szCs w:val="28"/>
        </w:rPr>
        <w:t>第一条</w:t>
      </w:r>
      <w:r>
        <w:rPr>
          <w:rFonts w:hint="eastAsia" w:ascii="宋体" w:hAnsi="宋体"/>
          <w:sz w:val="28"/>
          <w:szCs w:val="28"/>
        </w:rPr>
        <w:t xml:space="preserve"> </w:t>
      </w:r>
      <w:r>
        <w:rPr>
          <w:sz w:val="28"/>
          <w:szCs w:val="28"/>
        </w:rPr>
        <w:t>为贯彻落实</w:t>
      </w:r>
      <w:r>
        <w:rPr>
          <w:rFonts w:hint="eastAsia"/>
          <w:sz w:val="28"/>
          <w:szCs w:val="28"/>
        </w:rPr>
        <w:t>中共中央、国务院《关于开展质量提升行动的指导意见》，</w:t>
      </w:r>
      <w:r>
        <w:rPr>
          <w:rFonts w:hint="eastAsia" w:ascii="宋体" w:hAnsi="宋体"/>
          <w:sz w:val="28"/>
          <w:szCs w:val="28"/>
        </w:rPr>
        <w:t>根据中国化工施工企业协会（以下简称协会）《关于开展全面提升工程质量行动的意见》</w:t>
      </w:r>
      <w:r>
        <w:rPr>
          <w:rFonts w:hint="eastAsia"/>
          <w:sz w:val="28"/>
          <w:szCs w:val="28"/>
        </w:rPr>
        <w:t>，制定本办法</w:t>
      </w:r>
      <w:r>
        <w:rPr>
          <w:rFonts w:hint="eastAsia" w:ascii="宋体" w:hAnsi="宋体"/>
          <w:sz w:val="28"/>
          <w:szCs w:val="28"/>
        </w:rPr>
        <w:t>。</w:t>
      </w:r>
    </w:p>
    <w:p>
      <w:pPr>
        <w:adjustRightInd w:val="0"/>
        <w:snapToGrid w:val="0"/>
        <w:spacing w:line="360" w:lineRule="auto"/>
        <w:ind w:firstLine="562" w:firstLineChars="200"/>
        <w:rPr>
          <w:rFonts w:ascii="宋体" w:hAnsi="宋体"/>
          <w:sz w:val="28"/>
          <w:szCs w:val="28"/>
        </w:rPr>
      </w:pPr>
      <w:r>
        <w:rPr>
          <w:rFonts w:ascii="宋体" w:hAnsi="宋体"/>
          <w:b/>
          <w:sz w:val="28"/>
          <w:szCs w:val="28"/>
        </w:rPr>
        <w:t>第</w:t>
      </w:r>
      <w:r>
        <w:rPr>
          <w:rFonts w:hint="eastAsia" w:ascii="宋体" w:hAnsi="宋体"/>
          <w:b/>
          <w:sz w:val="28"/>
          <w:szCs w:val="28"/>
        </w:rPr>
        <w:t>二</w:t>
      </w:r>
      <w:r>
        <w:rPr>
          <w:rFonts w:ascii="宋体" w:hAnsi="宋体"/>
          <w:b/>
          <w:sz w:val="28"/>
          <w:szCs w:val="28"/>
        </w:rPr>
        <w:t>条</w:t>
      </w:r>
      <w:r>
        <w:rPr>
          <w:rFonts w:hint="eastAsia" w:ascii="宋体" w:hAnsi="宋体"/>
          <w:sz w:val="28"/>
          <w:szCs w:val="28"/>
        </w:rPr>
        <w:t xml:space="preserve">  指导思想：落实全面质量管理理念，倡导过程铸就精品，促进化工工程建设质量全面提升。</w:t>
      </w:r>
    </w:p>
    <w:p>
      <w:pPr>
        <w:adjustRightInd w:val="0"/>
        <w:snapToGrid w:val="0"/>
        <w:spacing w:line="360" w:lineRule="auto"/>
        <w:ind w:firstLine="562" w:firstLineChars="200"/>
        <w:rPr>
          <w:rFonts w:ascii="宋体" w:hAnsi="宋体"/>
          <w:sz w:val="28"/>
          <w:szCs w:val="28"/>
        </w:rPr>
      </w:pPr>
      <w:r>
        <w:rPr>
          <w:rFonts w:hint="eastAsia" w:ascii="宋体" w:hAnsi="宋体"/>
          <w:b/>
          <w:sz w:val="28"/>
          <w:szCs w:val="28"/>
        </w:rPr>
        <w:t xml:space="preserve">第三条 </w:t>
      </w:r>
      <w:r>
        <w:rPr>
          <w:rFonts w:hint="eastAsia" w:ascii="宋体" w:hAnsi="宋体"/>
          <w:sz w:val="28"/>
          <w:szCs w:val="28"/>
        </w:rPr>
        <w:t xml:space="preserve">全过程质量咨询是以工程项目为载体,以项目质量管理和工程实体质量水平为关注对象,依据《建设工程全过程质量控制管理规程》(T/ZSQX002-2018)、《建设工程全过程质量行为导则》(T/ZSQX008-2020)、《建设项目全过程工程咨询标准》（T/CECS1030-2022）,为项目建设质量提升提供技术、管理专项咨询服务。 </w:t>
      </w:r>
    </w:p>
    <w:p>
      <w:pPr>
        <w:adjustRightInd w:val="0"/>
        <w:snapToGrid w:val="0"/>
        <w:spacing w:line="360" w:lineRule="auto"/>
        <w:ind w:firstLine="562" w:firstLineChars="200"/>
        <w:rPr>
          <w:rFonts w:ascii="宋体" w:hAnsi="宋体"/>
          <w:sz w:val="28"/>
          <w:szCs w:val="28"/>
        </w:rPr>
      </w:pPr>
      <w:bookmarkStart w:id="2" w:name="_Hlk111726007"/>
      <w:r>
        <w:rPr>
          <w:rFonts w:hint="eastAsia" w:ascii="宋体" w:hAnsi="宋体"/>
          <w:b/>
          <w:bCs/>
          <w:sz w:val="28"/>
          <w:szCs w:val="28"/>
        </w:rPr>
        <w:t>第四条</w:t>
      </w:r>
      <w:bookmarkEnd w:id="2"/>
      <w:r>
        <w:rPr>
          <w:rFonts w:hint="eastAsia" w:ascii="宋体" w:hAnsi="宋体"/>
          <w:b/>
          <w:bCs/>
          <w:sz w:val="28"/>
          <w:szCs w:val="28"/>
        </w:rPr>
        <w:t xml:space="preserve"> </w:t>
      </w:r>
      <w:r>
        <w:rPr>
          <w:rFonts w:hint="eastAsia" w:ascii="宋体" w:hAnsi="宋体"/>
          <w:b w:val="0"/>
          <w:bCs w:val="0"/>
          <w:sz w:val="28"/>
          <w:szCs w:val="28"/>
        </w:rPr>
        <w:t>化工工程建设</w:t>
      </w:r>
      <w:r>
        <w:rPr>
          <w:rFonts w:hint="eastAsia" w:ascii="宋体" w:hAnsi="宋体"/>
          <w:sz w:val="28"/>
          <w:szCs w:val="28"/>
        </w:rPr>
        <w:t>全过程质量控制专项咨询服务活动，坚持服务为本、企业自愿、友好协商原则。</w:t>
      </w:r>
    </w:p>
    <w:p>
      <w:pPr>
        <w:adjustRightInd w:val="0"/>
        <w:snapToGrid w:val="0"/>
        <w:spacing w:line="360" w:lineRule="auto"/>
        <w:ind w:firstLine="562" w:firstLineChars="200"/>
        <w:jc w:val="center"/>
        <w:rPr>
          <w:rFonts w:ascii="宋体" w:hAnsi="宋体"/>
          <w:b/>
          <w:sz w:val="28"/>
          <w:szCs w:val="28"/>
        </w:rPr>
      </w:pPr>
      <w:r>
        <w:rPr>
          <w:rFonts w:hint="eastAsia" w:ascii="宋体" w:hAnsi="宋体"/>
          <w:b/>
          <w:sz w:val="28"/>
          <w:szCs w:val="28"/>
        </w:rPr>
        <w:t>第二章 适用范围</w:t>
      </w:r>
    </w:p>
    <w:p>
      <w:pPr>
        <w:adjustRightInd w:val="0"/>
        <w:snapToGrid w:val="0"/>
        <w:spacing w:line="360" w:lineRule="auto"/>
        <w:ind w:firstLine="551" w:firstLineChars="196"/>
        <w:rPr>
          <w:rFonts w:ascii="宋体" w:hAnsi="宋体"/>
          <w:sz w:val="28"/>
          <w:szCs w:val="28"/>
        </w:rPr>
      </w:pPr>
      <w:r>
        <w:rPr>
          <w:rFonts w:ascii="宋体" w:hAnsi="宋体"/>
          <w:b/>
          <w:sz w:val="28"/>
          <w:szCs w:val="28"/>
        </w:rPr>
        <w:t>第</w:t>
      </w:r>
      <w:r>
        <w:rPr>
          <w:rFonts w:hint="eastAsia" w:ascii="宋体" w:hAnsi="宋体"/>
          <w:b/>
          <w:sz w:val="28"/>
          <w:szCs w:val="28"/>
        </w:rPr>
        <w:t>五</w:t>
      </w:r>
      <w:r>
        <w:rPr>
          <w:rFonts w:ascii="宋体" w:hAnsi="宋体"/>
          <w:b/>
          <w:sz w:val="28"/>
          <w:szCs w:val="28"/>
        </w:rPr>
        <w:t>条</w:t>
      </w:r>
      <w:r>
        <w:rPr>
          <w:rFonts w:hint="eastAsia" w:ascii="宋体" w:hAnsi="宋体"/>
          <w:sz w:val="28"/>
          <w:szCs w:val="28"/>
        </w:rPr>
        <w:t xml:space="preserve">  会员单位（含建设、勘察、设计、施工、监理、制造、科研院所等）投资或承接并参与建设的国内外化工工程项目。</w:t>
      </w:r>
    </w:p>
    <w:p>
      <w:pPr>
        <w:adjustRightInd w:val="0"/>
        <w:snapToGrid w:val="0"/>
        <w:spacing w:line="360" w:lineRule="auto"/>
        <w:jc w:val="center"/>
        <w:rPr>
          <w:rFonts w:ascii="宋体" w:hAnsi="宋体"/>
          <w:b/>
          <w:sz w:val="28"/>
          <w:szCs w:val="28"/>
        </w:rPr>
      </w:pPr>
      <w:r>
        <w:rPr>
          <w:rFonts w:hint="eastAsia" w:ascii="宋体" w:hAnsi="宋体"/>
          <w:b/>
          <w:sz w:val="28"/>
          <w:szCs w:val="28"/>
        </w:rPr>
        <w:t xml:space="preserve">第三章 </w:t>
      </w:r>
      <w:r>
        <w:rPr>
          <w:rFonts w:ascii="宋体" w:hAnsi="宋体"/>
          <w:b/>
          <w:sz w:val="28"/>
          <w:szCs w:val="28"/>
        </w:rPr>
        <w:t xml:space="preserve"> </w:t>
      </w:r>
      <w:r>
        <w:rPr>
          <w:rFonts w:hint="eastAsia" w:ascii="宋体" w:hAnsi="宋体"/>
          <w:b/>
          <w:sz w:val="28"/>
          <w:szCs w:val="28"/>
        </w:rPr>
        <w:t>组织管理</w:t>
      </w:r>
    </w:p>
    <w:p>
      <w:pPr>
        <w:adjustRightInd w:val="0"/>
        <w:snapToGrid w:val="0"/>
        <w:spacing w:line="360" w:lineRule="auto"/>
        <w:ind w:firstLine="551" w:firstLineChars="196"/>
        <w:rPr>
          <w:rFonts w:ascii="宋体" w:hAnsi="宋体"/>
          <w:sz w:val="28"/>
          <w:szCs w:val="28"/>
        </w:rPr>
      </w:pPr>
      <w:r>
        <w:rPr>
          <w:rFonts w:ascii="宋体" w:hAnsi="宋体"/>
          <w:b/>
          <w:sz w:val="28"/>
          <w:szCs w:val="28"/>
        </w:rPr>
        <w:t>第</w:t>
      </w:r>
      <w:r>
        <w:rPr>
          <w:rFonts w:hint="eastAsia" w:ascii="宋体" w:hAnsi="宋体"/>
          <w:b/>
          <w:sz w:val="28"/>
          <w:szCs w:val="28"/>
        </w:rPr>
        <w:t>六</w:t>
      </w:r>
      <w:r>
        <w:rPr>
          <w:rFonts w:ascii="宋体" w:hAnsi="宋体"/>
          <w:b/>
          <w:sz w:val="28"/>
          <w:szCs w:val="28"/>
        </w:rPr>
        <w:t>条</w:t>
      </w:r>
      <w:r>
        <w:rPr>
          <w:rFonts w:hint="eastAsia" w:ascii="宋体" w:hAnsi="宋体"/>
          <w:sz w:val="28"/>
          <w:szCs w:val="28"/>
        </w:rPr>
        <w:t xml:space="preserve">  </w:t>
      </w:r>
      <w:r>
        <w:rPr>
          <w:rFonts w:ascii="宋体" w:hAnsi="宋体"/>
          <w:sz w:val="28"/>
          <w:szCs w:val="28"/>
        </w:rPr>
        <w:t>协会秘书处</w:t>
      </w:r>
      <w:r>
        <w:rPr>
          <w:rFonts w:hint="eastAsia" w:ascii="宋体" w:hAnsi="宋体"/>
          <w:sz w:val="28"/>
          <w:szCs w:val="28"/>
        </w:rPr>
        <w:t>全面负责化工工程建设全过程质量控制专项咨询服务的组织协调，</w:t>
      </w:r>
      <w:r>
        <w:rPr>
          <w:rFonts w:ascii="宋体" w:hAnsi="宋体"/>
          <w:sz w:val="28"/>
          <w:szCs w:val="28"/>
        </w:rPr>
        <w:t>制定相关标准和制度，规范咨询服务程序和行为，组织</w:t>
      </w:r>
      <w:r>
        <w:rPr>
          <w:rFonts w:hint="eastAsia" w:ascii="宋体" w:hAnsi="宋体"/>
          <w:sz w:val="28"/>
          <w:szCs w:val="28"/>
        </w:rPr>
        <w:t>相关专家制定</w:t>
      </w:r>
      <w:r>
        <w:rPr>
          <w:rFonts w:ascii="宋体" w:hAnsi="宋体"/>
          <w:sz w:val="28"/>
          <w:szCs w:val="28"/>
        </w:rPr>
        <w:t>咨询</w:t>
      </w:r>
      <w:r>
        <w:rPr>
          <w:rFonts w:hint="eastAsia" w:ascii="宋体" w:hAnsi="宋体"/>
          <w:sz w:val="28"/>
          <w:szCs w:val="28"/>
        </w:rPr>
        <w:t>方案并实施</w:t>
      </w:r>
      <w:r>
        <w:rPr>
          <w:rFonts w:ascii="宋体" w:hAnsi="宋体"/>
          <w:sz w:val="28"/>
          <w:szCs w:val="28"/>
        </w:rPr>
        <w:t>。</w:t>
      </w:r>
    </w:p>
    <w:p>
      <w:pPr>
        <w:adjustRightInd w:val="0"/>
        <w:snapToGrid w:val="0"/>
        <w:spacing w:line="360" w:lineRule="auto"/>
        <w:ind w:firstLine="551" w:firstLineChars="196"/>
        <w:rPr>
          <w:rFonts w:ascii="宋体" w:hAnsi="宋体"/>
          <w:b/>
          <w:sz w:val="28"/>
          <w:szCs w:val="28"/>
        </w:rPr>
      </w:pPr>
      <w:r>
        <w:rPr>
          <w:rFonts w:ascii="宋体" w:hAnsi="宋体"/>
          <w:b/>
          <w:sz w:val="28"/>
          <w:szCs w:val="28"/>
        </w:rPr>
        <w:t>第</w:t>
      </w:r>
      <w:r>
        <w:rPr>
          <w:rFonts w:hint="eastAsia" w:ascii="宋体" w:hAnsi="宋体"/>
          <w:b/>
          <w:sz w:val="28"/>
          <w:szCs w:val="28"/>
        </w:rPr>
        <w:t>七</w:t>
      </w:r>
      <w:r>
        <w:rPr>
          <w:rFonts w:ascii="宋体" w:hAnsi="宋体"/>
          <w:b/>
          <w:sz w:val="28"/>
          <w:szCs w:val="28"/>
        </w:rPr>
        <w:t>条</w:t>
      </w:r>
      <w:r>
        <w:rPr>
          <w:rFonts w:hint="eastAsia" w:ascii="宋体" w:hAnsi="宋体"/>
          <w:sz w:val="28"/>
          <w:szCs w:val="28"/>
        </w:rPr>
        <w:t xml:space="preserve"> </w:t>
      </w:r>
      <w:r>
        <w:rPr>
          <w:rFonts w:ascii="宋体" w:hAnsi="宋体"/>
          <w:sz w:val="28"/>
          <w:szCs w:val="28"/>
        </w:rPr>
        <w:t>协会按照</w:t>
      </w:r>
      <w:r>
        <w:rPr>
          <w:rFonts w:hint="eastAsia" w:ascii="宋体" w:hAnsi="宋体"/>
          <w:sz w:val="28"/>
          <w:szCs w:val="28"/>
        </w:rPr>
        <w:t>项目咨询服务具体</w:t>
      </w:r>
      <w:r>
        <w:rPr>
          <w:rFonts w:ascii="宋体" w:hAnsi="宋体"/>
          <w:sz w:val="28"/>
          <w:szCs w:val="28"/>
        </w:rPr>
        <w:t>需求</w:t>
      </w:r>
      <w:r>
        <w:rPr>
          <w:rFonts w:hint="eastAsia" w:ascii="宋体" w:hAnsi="宋体"/>
          <w:sz w:val="28"/>
          <w:szCs w:val="28"/>
        </w:rPr>
        <w:t>，从专家库中遴选相应的行业技术、管理专家</w:t>
      </w:r>
      <w:r>
        <w:rPr>
          <w:rFonts w:ascii="宋体" w:hAnsi="宋体"/>
          <w:sz w:val="28"/>
          <w:szCs w:val="28"/>
        </w:rPr>
        <w:t>组</w:t>
      </w:r>
      <w:r>
        <w:rPr>
          <w:rFonts w:hint="eastAsia" w:ascii="宋体" w:hAnsi="宋体"/>
          <w:sz w:val="28"/>
          <w:szCs w:val="28"/>
        </w:rPr>
        <w:t>成</w:t>
      </w:r>
      <w:r>
        <w:rPr>
          <w:rFonts w:ascii="宋体" w:hAnsi="宋体"/>
          <w:sz w:val="28"/>
          <w:szCs w:val="28"/>
        </w:rPr>
        <w:t>专家团队，依据</w:t>
      </w:r>
      <w:r>
        <w:rPr>
          <w:rFonts w:hint="eastAsia" w:ascii="宋体" w:hAnsi="宋体"/>
          <w:sz w:val="28"/>
          <w:szCs w:val="28"/>
        </w:rPr>
        <w:t>有关法律法规、标准规范以及服务协议约定的服务范围</w:t>
      </w:r>
      <w:r>
        <w:rPr>
          <w:rFonts w:ascii="宋体" w:hAnsi="宋体"/>
          <w:sz w:val="28"/>
          <w:szCs w:val="28"/>
        </w:rPr>
        <w:t>提供及时有效的咨询服务。</w:t>
      </w:r>
    </w:p>
    <w:p>
      <w:pPr>
        <w:adjustRightInd w:val="0"/>
        <w:snapToGrid w:val="0"/>
        <w:spacing w:line="360" w:lineRule="auto"/>
        <w:jc w:val="center"/>
        <w:rPr>
          <w:rFonts w:ascii="宋体" w:hAnsi="宋体"/>
          <w:sz w:val="28"/>
          <w:szCs w:val="28"/>
        </w:rPr>
      </w:pPr>
      <w:r>
        <w:rPr>
          <w:rFonts w:hint="eastAsia" w:ascii="宋体" w:hAnsi="宋体"/>
          <w:b/>
          <w:sz w:val="28"/>
          <w:szCs w:val="28"/>
        </w:rPr>
        <w:t xml:space="preserve">第四章 </w:t>
      </w:r>
      <w:r>
        <w:rPr>
          <w:rFonts w:ascii="宋体" w:hAnsi="宋体"/>
          <w:b/>
          <w:sz w:val="28"/>
          <w:szCs w:val="28"/>
        </w:rPr>
        <w:t xml:space="preserve">  </w:t>
      </w:r>
      <w:r>
        <w:rPr>
          <w:rFonts w:hint="eastAsia" w:ascii="宋体" w:hAnsi="宋体"/>
          <w:b/>
          <w:sz w:val="28"/>
          <w:szCs w:val="28"/>
        </w:rPr>
        <w:t>项目条件</w:t>
      </w:r>
    </w:p>
    <w:p>
      <w:pPr>
        <w:adjustRightInd w:val="0"/>
        <w:snapToGrid w:val="0"/>
        <w:spacing w:line="360" w:lineRule="auto"/>
        <w:ind w:firstLine="551" w:firstLineChars="196"/>
        <w:rPr>
          <w:rFonts w:ascii="宋体" w:hAnsi="宋体"/>
          <w:sz w:val="28"/>
          <w:szCs w:val="28"/>
        </w:rPr>
      </w:pPr>
      <w:r>
        <w:rPr>
          <w:rFonts w:hint="eastAsia" w:ascii="宋体" w:hAnsi="宋体"/>
          <w:b/>
          <w:sz w:val="28"/>
          <w:szCs w:val="28"/>
        </w:rPr>
        <w:t>第八条</w:t>
      </w:r>
      <w:r>
        <w:rPr>
          <w:rFonts w:hint="eastAsia" w:ascii="宋体" w:hAnsi="宋体"/>
          <w:sz w:val="28"/>
          <w:szCs w:val="28"/>
        </w:rPr>
        <w:t xml:space="preserve">  全过程质量控制专项咨询服务的项目应经国家或地方主管部门批准建设，投资额在5亿元或合同额5000万元以上，且具有独立生产能力或使用功能的新建或扩建的拟建和在建项目。</w:t>
      </w:r>
    </w:p>
    <w:p>
      <w:pPr>
        <w:adjustRightInd w:val="0"/>
        <w:snapToGrid w:val="0"/>
        <w:spacing w:line="360" w:lineRule="auto"/>
        <w:ind w:firstLine="551" w:firstLineChars="196"/>
        <w:rPr>
          <w:rFonts w:ascii="宋体" w:hAnsi="宋体"/>
          <w:sz w:val="28"/>
          <w:szCs w:val="28"/>
        </w:rPr>
      </w:pPr>
      <w:r>
        <w:rPr>
          <w:rFonts w:hint="eastAsia" w:ascii="宋体" w:hAnsi="宋体"/>
          <w:b/>
          <w:bCs/>
          <w:sz w:val="28"/>
          <w:szCs w:val="28"/>
        </w:rPr>
        <w:t xml:space="preserve">第九条 </w:t>
      </w:r>
      <w:r>
        <w:rPr>
          <w:rFonts w:ascii="宋体" w:hAnsi="宋体"/>
          <w:b/>
          <w:bCs/>
          <w:sz w:val="28"/>
          <w:szCs w:val="28"/>
        </w:rPr>
        <w:t xml:space="preserve"> </w:t>
      </w:r>
      <w:r>
        <w:rPr>
          <w:rFonts w:hint="eastAsia" w:ascii="宋体" w:hAnsi="宋体"/>
          <w:sz w:val="28"/>
          <w:szCs w:val="28"/>
        </w:rPr>
        <w:t>项目质量目标明确；注重科技创新和新技术应用；践行绿色建造理念。</w:t>
      </w:r>
    </w:p>
    <w:p>
      <w:pPr>
        <w:adjustRightInd w:val="0"/>
        <w:snapToGrid w:val="0"/>
        <w:spacing w:line="360" w:lineRule="auto"/>
        <w:ind w:firstLine="551" w:firstLineChars="196"/>
        <w:rPr>
          <w:rFonts w:ascii="宋体" w:hAnsi="宋体"/>
          <w:sz w:val="28"/>
          <w:szCs w:val="28"/>
        </w:rPr>
      </w:pPr>
      <w:r>
        <w:rPr>
          <w:rFonts w:hint="eastAsia" w:ascii="宋体" w:hAnsi="宋体"/>
          <w:b/>
          <w:bCs/>
          <w:sz w:val="28"/>
          <w:szCs w:val="28"/>
        </w:rPr>
        <w:t xml:space="preserve">第十条 </w:t>
      </w:r>
      <w:r>
        <w:rPr>
          <w:rFonts w:ascii="宋体" w:hAnsi="宋体"/>
          <w:b/>
          <w:bCs/>
          <w:sz w:val="28"/>
          <w:szCs w:val="28"/>
        </w:rPr>
        <w:t xml:space="preserve"> </w:t>
      </w:r>
      <w:r>
        <w:rPr>
          <w:rFonts w:hint="eastAsia" w:ascii="宋体" w:hAnsi="宋体"/>
          <w:sz w:val="28"/>
          <w:szCs w:val="28"/>
        </w:rPr>
        <w:t>项目在本行业具有一定的影响力、代表性和先进性。</w:t>
      </w:r>
    </w:p>
    <w:p>
      <w:pPr>
        <w:adjustRightInd w:val="0"/>
        <w:snapToGrid w:val="0"/>
        <w:spacing w:line="360" w:lineRule="auto"/>
        <w:ind w:firstLine="551" w:firstLineChars="196"/>
        <w:jc w:val="center"/>
        <w:rPr>
          <w:rFonts w:ascii="宋体" w:hAnsi="宋体"/>
          <w:b/>
          <w:bCs/>
          <w:sz w:val="28"/>
          <w:szCs w:val="28"/>
        </w:rPr>
      </w:pPr>
      <w:r>
        <w:rPr>
          <w:rFonts w:hint="eastAsia" w:ascii="宋体" w:hAnsi="宋体"/>
          <w:b/>
          <w:bCs/>
          <w:sz w:val="28"/>
          <w:szCs w:val="28"/>
        </w:rPr>
        <w:t>第五章   项目申请</w:t>
      </w:r>
    </w:p>
    <w:p>
      <w:pPr>
        <w:adjustRightInd w:val="0"/>
        <w:snapToGrid w:val="0"/>
        <w:spacing w:line="360" w:lineRule="auto"/>
        <w:ind w:firstLine="562" w:firstLineChars="200"/>
        <w:rPr>
          <w:sz w:val="28"/>
          <w:szCs w:val="28"/>
        </w:rPr>
      </w:pPr>
      <w:r>
        <w:rPr>
          <w:rFonts w:hint="eastAsia" w:ascii="宋体" w:hAnsi="宋体"/>
          <w:b/>
          <w:sz w:val="28"/>
          <w:szCs w:val="28"/>
        </w:rPr>
        <w:t xml:space="preserve">第十一条 </w:t>
      </w:r>
      <w:r>
        <w:rPr>
          <w:rFonts w:hint="eastAsia"/>
          <w:sz w:val="28"/>
          <w:szCs w:val="28"/>
        </w:rPr>
        <w:t>凡符合申请条件的项目，工程建设过程中委托单位提出</w:t>
      </w:r>
      <w:bookmarkStart w:id="3" w:name="_Hlk111729975"/>
      <w:r>
        <w:rPr>
          <w:rFonts w:hint="eastAsia"/>
          <w:sz w:val="28"/>
          <w:szCs w:val="28"/>
        </w:rPr>
        <w:t>全过程质量控制专项咨询服务</w:t>
      </w:r>
      <w:bookmarkEnd w:id="3"/>
      <w:r>
        <w:rPr>
          <w:rFonts w:hint="eastAsia"/>
          <w:sz w:val="28"/>
          <w:szCs w:val="28"/>
        </w:rPr>
        <w:t>申请随时报协会秘书处，多家联合实施的项目应明确主申报单位。</w:t>
      </w:r>
    </w:p>
    <w:p>
      <w:pPr>
        <w:adjustRightInd w:val="0"/>
        <w:snapToGrid w:val="0"/>
        <w:spacing w:line="360" w:lineRule="auto"/>
        <w:ind w:firstLine="551" w:firstLineChars="196"/>
        <w:rPr>
          <w:rFonts w:ascii="宋体" w:hAnsi="宋体"/>
          <w:sz w:val="28"/>
          <w:szCs w:val="28"/>
        </w:rPr>
      </w:pPr>
      <w:r>
        <w:rPr>
          <w:rFonts w:hint="eastAsia" w:ascii="宋体" w:hAnsi="宋体"/>
          <w:b/>
          <w:sz w:val="28"/>
          <w:szCs w:val="28"/>
        </w:rPr>
        <w:t xml:space="preserve">第十二条 </w:t>
      </w:r>
      <w:r>
        <w:rPr>
          <w:rFonts w:hint="eastAsia" w:ascii="宋体" w:hAnsi="宋体"/>
          <w:sz w:val="28"/>
          <w:szCs w:val="28"/>
        </w:rPr>
        <w:t xml:space="preserve"> 经协会秘书处审核，凡符合申请条件的项目签订咨询服务协议，明确服务内容，制定咨询服务方案，</w:t>
      </w:r>
      <w:r>
        <w:rPr>
          <w:rFonts w:ascii="宋体" w:hAnsi="宋体"/>
          <w:sz w:val="28"/>
          <w:szCs w:val="28"/>
        </w:rPr>
        <w:t>纳入</w:t>
      </w:r>
      <w:r>
        <w:rPr>
          <w:rFonts w:hint="eastAsia" w:ascii="宋体" w:hAnsi="宋体"/>
          <w:sz w:val="28"/>
          <w:szCs w:val="28"/>
        </w:rPr>
        <w:t>协会全过程质量控制专项咨询服务</w:t>
      </w:r>
      <w:r>
        <w:rPr>
          <w:rFonts w:ascii="宋体" w:hAnsi="宋体"/>
          <w:sz w:val="28"/>
          <w:szCs w:val="28"/>
        </w:rPr>
        <w:t>的</w:t>
      </w:r>
      <w:r>
        <w:rPr>
          <w:rFonts w:hint="eastAsia" w:ascii="宋体" w:hAnsi="宋体"/>
          <w:sz w:val="28"/>
          <w:szCs w:val="28"/>
        </w:rPr>
        <w:t>工作范围</w:t>
      </w:r>
      <w:r>
        <w:rPr>
          <w:rFonts w:ascii="宋体" w:hAnsi="宋体"/>
          <w:sz w:val="28"/>
          <w:szCs w:val="28"/>
        </w:rPr>
        <w:t>。</w:t>
      </w:r>
      <w:r>
        <w:rPr>
          <w:rFonts w:hint="eastAsia" w:ascii="宋体" w:hAnsi="宋体"/>
          <w:sz w:val="28"/>
          <w:szCs w:val="28"/>
        </w:rPr>
        <w:t>对特别突出的项目根据企业意愿可推荐参与中国施工企业管理协会的全过程质量控制咨询服务，协会将联合开展相关工作。</w:t>
      </w:r>
    </w:p>
    <w:p>
      <w:pPr>
        <w:snapToGrid w:val="0"/>
        <w:spacing w:line="360" w:lineRule="auto"/>
        <w:jc w:val="center"/>
        <w:rPr>
          <w:rFonts w:ascii="宋体" w:hAnsi="宋体"/>
          <w:b/>
          <w:sz w:val="28"/>
          <w:szCs w:val="28"/>
        </w:rPr>
      </w:pPr>
      <w:r>
        <w:rPr>
          <w:rFonts w:hint="eastAsia" w:ascii="宋体" w:hAnsi="宋体"/>
          <w:b/>
          <w:sz w:val="28"/>
          <w:szCs w:val="28"/>
        </w:rPr>
        <w:t xml:space="preserve">第六章   </w:t>
      </w:r>
      <w:r>
        <w:rPr>
          <w:rFonts w:ascii="宋体" w:hAnsi="宋体"/>
          <w:b/>
          <w:sz w:val="28"/>
          <w:szCs w:val="28"/>
        </w:rPr>
        <w:t>服务</w:t>
      </w:r>
      <w:r>
        <w:rPr>
          <w:rFonts w:hint="eastAsia" w:ascii="宋体" w:hAnsi="宋体"/>
          <w:b/>
          <w:sz w:val="28"/>
          <w:szCs w:val="28"/>
        </w:rPr>
        <w:t>方式与内容</w:t>
      </w:r>
    </w:p>
    <w:p>
      <w:pPr>
        <w:snapToGrid w:val="0"/>
        <w:spacing w:line="360" w:lineRule="auto"/>
        <w:ind w:firstLine="562" w:firstLineChars="200"/>
        <w:rPr>
          <w:rFonts w:ascii="宋体" w:hAnsi="宋体"/>
          <w:sz w:val="28"/>
          <w:szCs w:val="28"/>
        </w:rPr>
      </w:pPr>
      <w:r>
        <w:rPr>
          <w:rFonts w:hint="eastAsia" w:ascii="宋体" w:hAnsi="宋体"/>
          <w:b/>
          <w:sz w:val="28"/>
          <w:szCs w:val="28"/>
        </w:rPr>
        <w:t>第十三条</w:t>
      </w:r>
      <w:r>
        <w:rPr>
          <w:rFonts w:hint="eastAsia" w:ascii="宋体" w:hAnsi="宋体"/>
          <w:sz w:val="28"/>
          <w:szCs w:val="28"/>
        </w:rPr>
        <w:t xml:space="preserve"> 咨询服务方式：组织专家现场培训、检查、指导，出具评价报告；组织会议开展培训、交流及现场观摩；组织专家对成果鉴定、评审、评价等多种形式。</w:t>
      </w:r>
    </w:p>
    <w:p>
      <w:pPr>
        <w:snapToGrid w:val="0"/>
        <w:spacing w:line="360" w:lineRule="auto"/>
        <w:ind w:firstLine="562" w:firstLineChars="200"/>
        <w:rPr>
          <w:rFonts w:ascii="宋体" w:hAnsi="宋体"/>
          <w:sz w:val="28"/>
          <w:szCs w:val="28"/>
        </w:rPr>
      </w:pPr>
      <w:r>
        <w:rPr>
          <w:rFonts w:hint="eastAsia" w:ascii="宋体" w:hAnsi="宋体"/>
          <w:b/>
          <w:bCs/>
          <w:sz w:val="28"/>
          <w:szCs w:val="28"/>
        </w:rPr>
        <w:t>第十四条</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咨询服务内容（详见附件一）：</w:t>
      </w:r>
    </w:p>
    <w:p>
      <w:pPr>
        <w:snapToGrid w:val="0"/>
        <w:spacing w:line="360" w:lineRule="auto"/>
        <w:ind w:firstLine="1416" w:firstLineChars="506"/>
        <w:rPr>
          <w:rFonts w:ascii="宋体" w:hAnsi="宋体"/>
          <w:sz w:val="28"/>
          <w:szCs w:val="28"/>
        </w:rPr>
      </w:pPr>
      <w:r>
        <w:rPr>
          <w:rFonts w:hint="eastAsia" w:ascii="宋体" w:hAnsi="宋体"/>
          <w:sz w:val="28"/>
          <w:szCs w:val="28"/>
        </w:rPr>
        <w:t>1 质量策划</w:t>
      </w:r>
    </w:p>
    <w:p>
      <w:pPr>
        <w:snapToGrid w:val="0"/>
        <w:spacing w:line="360" w:lineRule="auto"/>
        <w:ind w:firstLine="1416" w:firstLineChars="506"/>
        <w:rPr>
          <w:rFonts w:ascii="宋体" w:hAnsi="宋体"/>
          <w:sz w:val="28"/>
          <w:szCs w:val="28"/>
        </w:rPr>
      </w:pPr>
      <w:r>
        <w:rPr>
          <w:rFonts w:hint="eastAsia" w:ascii="宋体" w:hAnsi="宋体"/>
          <w:sz w:val="28"/>
          <w:szCs w:val="28"/>
        </w:rPr>
        <w:t>2 质量培训</w:t>
      </w:r>
    </w:p>
    <w:p>
      <w:pPr>
        <w:snapToGrid w:val="0"/>
        <w:spacing w:line="360" w:lineRule="auto"/>
        <w:ind w:firstLine="1416" w:firstLineChars="506"/>
        <w:rPr>
          <w:rFonts w:ascii="宋体" w:hAnsi="宋体"/>
          <w:sz w:val="28"/>
          <w:szCs w:val="28"/>
        </w:rPr>
      </w:pPr>
      <w:r>
        <w:rPr>
          <w:rFonts w:hint="eastAsia" w:ascii="宋体" w:hAnsi="宋体"/>
          <w:sz w:val="28"/>
          <w:szCs w:val="28"/>
        </w:rPr>
        <w:t>3 技术服务</w:t>
      </w:r>
    </w:p>
    <w:p>
      <w:pPr>
        <w:snapToGrid w:val="0"/>
        <w:spacing w:line="360" w:lineRule="auto"/>
        <w:ind w:firstLine="1416" w:firstLineChars="506"/>
        <w:rPr>
          <w:rFonts w:ascii="宋体" w:hAnsi="宋体"/>
          <w:sz w:val="28"/>
          <w:szCs w:val="28"/>
        </w:rPr>
      </w:pPr>
      <w:r>
        <w:rPr>
          <w:rFonts w:hint="eastAsia" w:ascii="宋体" w:hAnsi="宋体"/>
          <w:sz w:val="28"/>
          <w:szCs w:val="28"/>
        </w:rPr>
        <w:t>4 检查指导</w:t>
      </w:r>
    </w:p>
    <w:p>
      <w:pPr>
        <w:snapToGrid w:val="0"/>
        <w:spacing w:line="360" w:lineRule="auto"/>
        <w:ind w:firstLine="1416" w:firstLineChars="506"/>
        <w:rPr>
          <w:rFonts w:ascii="宋体" w:hAnsi="宋体"/>
          <w:sz w:val="28"/>
          <w:szCs w:val="28"/>
        </w:rPr>
      </w:pPr>
      <w:r>
        <w:rPr>
          <w:rFonts w:hint="eastAsia" w:ascii="宋体" w:hAnsi="宋体"/>
          <w:sz w:val="28"/>
          <w:szCs w:val="28"/>
        </w:rPr>
        <w:t>5 质量评估</w:t>
      </w:r>
    </w:p>
    <w:p>
      <w:pPr>
        <w:snapToGrid w:val="0"/>
        <w:spacing w:line="360" w:lineRule="auto"/>
        <w:ind w:firstLine="1416" w:firstLineChars="506"/>
        <w:rPr>
          <w:rFonts w:ascii="宋体" w:hAnsi="宋体"/>
          <w:sz w:val="28"/>
          <w:szCs w:val="28"/>
        </w:rPr>
      </w:pPr>
      <w:r>
        <w:rPr>
          <w:rFonts w:hint="eastAsia" w:ascii="宋体" w:hAnsi="宋体"/>
          <w:sz w:val="28"/>
          <w:szCs w:val="28"/>
        </w:rPr>
        <w:t>6其他咨询服务</w:t>
      </w:r>
    </w:p>
    <w:p>
      <w:pPr>
        <w:snapToGrid w:val="0"/>
        <w:spacing w:line="360" w:lineRule="auto"/>
        <w:ind w:firstLine="562" w:firstLineChars="200"/>
        <w:rPr>
          <w:rFonts w:ascii="宋体" w:hAnsi="宋体"/>
          <w:sz w:val="28"/>
          <w:szCs w:val="28"/>
        </w:rPr>
      </w:pPr>
      <w:r>
        <w:rPr>
          <w:rFonts w:hint="eastAsia" w:ascii="宋体" w:hAnsi="宋体"/>
          <w:b/>
          <w:bCs/>
          <w:sz w:val="28"/>
          <w:szCs w:val="28"/>
        </w:rPr>
        <w:t>第十五条</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咨询服务成果</w:t>
      </w:r>
    </w:p>
    <w:p>
      <w:pPr>
        <w:snapToGrid w:val="0"/>
        <w:spacing w:line="360" w:lineRule="auto"/>
        <w:ind w:firstLine="1120" w:firstLineChars="400"/>
        <w:rPr>
          <w:rFonts w:ascii="宋体" w:hAnsi="宋体"/>
          <w:sz w:val="28"/>
          <w:szCs w:val="28"/>
        </w:rPr>
      </w:pPr>
      <w:r>
        <w:rPr>
          <w:rFonts w:hint="eastAsia" w:ascii="宋体" w:hAnsi="宋体"/>
          <w:sz w:val="28"/>
          <w:szCs w:val="28"/>
        </w:rPr>
        <w:t>阶段性咨询服务报告</w:t>
      </w:r>
    </w:p>
    <w:p>
      <w:pPr>
        <w:snapToGrid w:val="0"/>
        <w:spacing w:line="360" w:lineRule="auto"/>
        <w:ind w:firstLine="1120" w:firstLineChars="400"/>
        <w:rPr>
          <w:rFonts w:ascii="宋体" w:hAnsi="宋体"/>
          <w:sz w:val="28"/>
          <w:szCs w:val="28"/>
        </w:rPr>
      </w:pPr>
      <w:r>
        <w:rPr>
          <w:rFonts w:hint="eastAsia" w:ascii="宋体" w:hAnsi="宋体"/>
          <w:sz w:val="28"/>
          <w:szCs w:val="28"/>
        </w:rPr>
        <w:t>专项评估报告</w:t>
      </w:r>
    </w:p>
    <w:p>
      <w:pPr>
        <w:snapToGrid w:val="0"/>
        <w:spacing w:line="360" w:lineRule="auto"/>
        <w:ind w:firstLine="1120" w:firstLineChars="400"/>
        <w:rPr>
          <w:rFonts w:ascii="宋体" w:hAnsi="宋体"/>
          <w:sz w:val="28"/>
          <w:szCs w:val="28"/>
        </w:rPr>
      </w:pPr>
      <w:bookmarkStart w:id="4" w:name="_Hlk111814381"/>
      <w:r>
        <w:rPr>
          <w:rFonts w:hint="eastAsia" w:ascii="宋体" w:hAnsi="宋体"/>
          <w:sz w:val="28"/>
          <w:szCs w:val="28"/>
        </w:rPr>
        <w:t>综合性评估报告</w:t>
      </w:r>
    </w:p>
    <w:bookmarkEnd w:id="4"/>
    <w:p>
      <w:pPr>
        <w:snapToGrid w:val="0"/>
        <w:spacing w:line="360" w:lineRule="auto"/>
        <w:ind w:firstLine="562" w:firstLineChars="200"/>
        <w:rPr>
          <w:rFonts w:ascii="宋体" w:hAnsi="宋体"/>
          <w:sz w:val="28"/>
          <w:szCs w:val="28"/>
        </w:rPr>
      </w:pPr>
      <w:r>
        <w:rPr>
          <w:rFonts w:hint="eastAsia" w:ascii="宋体" w:hAnsi="宋体"/>
          <w:b/>
          <w:bCs/>
          <w:sz w:val="28"/>
          <w:szCs w:val="28"/>
        </w:rPr>
        <w:t xml:space="preserve">第十六条 </w:t>
      </w:r>
      <w:r>
        <w:rPr>
          <w:rFonts w:ascii="宋体" w:hAnsi="宋体"/>
          <w:sz w:val="28"/>
          <w:szCs w:val="28"/>
        </w:rPr>
        <w:t xml:space="preserve"> </w:t>
      </w:r>
      <w:r>
        <w:rPr>
          <w:rFonts w:hint="eastAsia" w:ascii="宋体" w:hAnsi="宋体"/>
          <w:sz w:val="28"/>
          <w:szCs w:val="28"/>
        </w:rPr>
        <w:t>咨询服务成果的应用</w:t>
      </w:r>
    </w:p>
    <w:p>
      <w:pPr>
        <w:snapToGrid w:val="0"/>
        <w:spacing w:line="360" w:lineRule="auto"/>
        <w:ind w:firstLine="560" w:firstLineChars="200"/>
        <w:rPr>
          <w:rFonts w:ascii="宋体" w:hAnsi="宋体"/>
          <w:sz w:val="28"/>
          <w:szCs w:val="28"/>
        </w:rPr>
      </w:pPr>
      <w:r>
        <w:rPr>
          <w:rFonts w:hint="eastAsia" w:ascii="宋体" w:hAnsi="宋体"/>
          <w:sz w:val="28"/>
          <w:szCs w:val="28"/>
        </w:rPr>
        <w:t>项目质量评估结果向社会公布，并作为第三方质量评价，予以推荐应用。</w:t>
      </w:r>
    </w:p>
    <w:p>
      <w:pPr>
        <w:snapToGrid w:val="0"/>
        <w:spacing w:line="360" w:lineRule="auto"/>
        <w:ind w:firstLine="560" w:firstLineChars="200"/>
        <w:rPr>
          <w:rFonts w:ascii="宋体" w:hAnsi="宋体"/>
          <w:sz w:val="28"/>
          <w:szCs w:val="28"/>
        </w:rPr>
      </w:pPr>
      <w:r>
        <w:rPr>
          <w:rFonts w:hint="eastAsia" w:ascii="宋体" w:hAnsi="宋体"/>
          <w:sz w:val="28"/>
          <w:szCs w:val="28"/>
        </w:rPr>
        <w:t>第十七条 工程项目发生下列行为之一者,立即终止咨询活动,双方已履行部分不再变更。</w:t>
      </w:r>
    </w:p>
    <w:p>
      <w:pPr>
        <w:snapToGrid w:val="0"/>
        <w:spacing w:line="360" w:lineRule="auto"/>
        <w:ind w:left="560"/>
        <w:rPr>
          <w:rFonts w:ascii="宋体" w:hAnsi="宋体"/>
          <w:sz w:val="28"/>
          <w:szCs w:val="28"/>
        </w:rPr>
      </w:pPr>
      <w:r>
        <w:rPr>
          <w:rFonts w:ascii="宋体" w:hAnsi="宋体"/>
          <w:sz w:val="28"/>
          <w:szCs w:val="28"/>
        </w:rPr>
        <w:t>1</w:t>
      </w:r>
      <w:r>
        <w:rPr>
          <w:rFonts w:hint="eastAsia" w:ascii="宋体" w:hAnsi="宋体"/>
          <w:sz w:val="28"/>
          <w:szCs w:val="28"/>
        </w:rPr>
        <w:t>、弄虚作假,未按要求履行合同;</w:t>
      </w:r>
    </w:p>
    <w:p>
      <w:pPr>
        <w:snapToGrid w:val="0"/>
        <w:spacing w:line="360" w:lineRule="auto"/>
        <w:ind w:left="560"/>
        <w:rPr>
          <w:rFonts w:ascii="宋体" w:hAnsi="宋体"/>
          <w:sz w:val="28"/>
          <w:szCs w:val="28"/>
        </w:rPr>
      </w:pPr>
      <w:r>
        <w:rPr>
          <w:rFonts w:ascii="宋体" w:hAnsi="宋体"/>
          <w:sz w:val="28"/>
          <w:szCs w:val="28"/>
        </w:rPr>
        <w:t>2</w:t>
      </w:r>
      <w:r>
        <w:rPr>
          <w:rFonts w:hint="eastAsia" w:ascii="宋体" w:hAnsi="宋体"/>
          <w:sz w:val="28"/>
          <w:szCs w:val="28"/>
        </w:rPr>
        <w:t>、质量管理失控,且不积极整改的;</w:t>
      </w:r>
    </w:p>
    <w:p>
      <w:pPr>
        <w:snapToGrid w:val="0"/>
        <w:spacing w:line="360" w:lineRule="auto"/>
        <w:ind w:left="560"/>
        <w:rPr>
          <w:rFonts w:ascii="宋体" w:hAnsi="宋体"/>
          <w:sz w:val="28"/>
          <w:szCs w:val="28"/>
        </w:rPr>
      </w:pPr>
      <w:r>
        <w:rPr>
          <w:rFonts w:ascii="宋体" w:hAnsi="宋体"/>
          <w:sz w:val="28"/>
          <w:szCs w:val="28"/>
        </w:rPr>
        <w:t>3</w:t>
      </w:r>
      <w:r>
        <w:rPr>
          <w:rFonts w:hint="eastAsia" w:ascii="宋体" w:hAnsi="宋体"/>
          <w:sz w:val="28"/>
          <w:szCs w:val="28"/>
        </w:rPr>
        <w:t>、发生严重违法违规行为，在社会上造成恶劣影响事件的。</w:t>
      </w:r>
    </w:p>
    <w:p>
      <w:pPr>
        <w:snapToGrid w:val="0"/>
        <w:spacing w:line="360" w:lineRule="auto"/>
        <w:ind w:firstLine="562" w:firstLineChars="200"/>
        <w:jc w:val="center"/>
        <w:rPr>
          <w:rFonts w:ascii="宋体" w:hAnsi="宋体"/>
          <w:sz w:val="28"/>
          <w:szCs w:val="28"/>
        </w:rPr>
      </w:pPr>
      <w:r>
        <w:rPr>
          <w:rFonts w:hint="eastAsia" w:ascii="宋体" w:hAnsi="宋体"/>
          <w:b/>
          <w:bCs/>
          <w:sz w:val="28"/>
          <w:szCs w:val="28"/>
        </w:rPr>
        <w:t>第七章   咨询服务专家</w:t>
      </w:r>
    </w:p>
    <w:p>
      <w:pPr>
        <w:adjustRightInd w:val="0"/>
        <w:snapToGrid w:val="0"/>
        <w:spacing w:line="360" w:lineRule="auto"/>
        <w:ind w:firstLine="562" w:firstLineChars="200"/>
        <w:rPr>
          <w:rFonts w:ascii="宋体" w:hAnsi="宋体"/>
          <w:sz w:val="28"/>
          <w:szCs w:val="28"/>
        </w:rPr>
      </w:pPr>
      <w:r>
        <w:rPr>
          <w:rFonts w:hint="eastAsia" w:ascii="宋体" w:hAnsi="宋体"/>
          <w:b/>
          <w:sz w:val="28"/>
          <w:szCs w:val="28"/>
        </w:rPr>
        <w:t xml:space="preserve">第十八条 </w:t>
      </w:r>
      <w:r>
        <w:rPr>
          <w:rFonts w:hint="eastAsia" w:ascii="宋体" w:hAnsi="宋体"/>
          <w:sz w:val="28"/>
          <w:szCs w:val="28"/>
        </w:rPr>
        <w:t xml:space="preserve"> 咨询服务专家应具备条件及要求：</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1、应是协会专家库高级专家；</w:t>
      </w:r>
    </w:p>
    <w:p>
      <w:pPr>
        <w:adjustRightInd w:val="0"/>
        <w:snapToGrid w:val="0"/>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、从事的专业应涵盖咨询服务项目所涉及的技术领域；</w:t>
      </w:r>
    </w:p>
    <w:p>
      <w:pPr>
        <w:adjustRightInd w:val="0"/>
        <w:snapToGrid w:val="0"/>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 xml:space="preserve">、具有高级及以上技术职称，熟悉国家工程建设有关政策和标准规范，并对所属专业有丰富的理论知识和实践经验； </w:t>
      </w:r>
    </w:p>
    <w:p>
      <w:pPr>
        <w:adjustRightInd w:val="0"/>
        <w:snapToGrid w:val="0"/>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、政治素质过硬，坚持原则，求实公正，对所提出的意见负责，能保守技术秘密。</w:t>
      </w:r>
    </w:p>
    <w:p>
      <w:pPr>
        <w:adjustRightInd w:val="0"/>
        <w:snapToGrid w:val="0"/>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、根据项目具体情况配备专家，一般由3-</w:t>
      </w:r>
      <w:r>
        <w:rPr>
          <w:rFonts w:ascii="宋体" w:hAnsi="宋体"/>
          <w:sz w:val="28"/>
          <w:szCs w:val="28"/>
        </w:rPr>
        <w:t>6</w:t>
      </w:r>
      <w:r>
        <w:rPr>
          <w:rFonts w:hint="eastAsia" w:ascii="宋体" w:hAnsi="宋体"/>
          <w:sz w:val="28"/>
          <w:szCs w:val="28"/>
        </w:rPr>
        <w:t>名专家组成。</w:t>
      </w:r>
    </w:p>
    <w:p>
      <w:pPr>
        <w:adjustRightInd w:val="0"/>
        <w:snapToGrid w:val="0"/>
        <w:spacing w:line="360" w:lineRule="auto"/>
        <w:ind w:firstLine="562" w:firstLineChars="200"/>
        <w:jc w:val="center"/>
        <w:rPr>
          <w:rFonts w:ascii="宋体" w:hAnsi="宋体"/>
          <w:b/>
          <w:bCs/>
          <w:sz w:val="28"/>
          <w:szCs w:val="28"/>
        </w:rPr>
      </w:pPr>
      <w:r>
        <w:rPr>
          <w:rFonts w:hint="eastAsia" w:ascii="宋体" w:hAnsi="宋体"/>
          <w:b/>
          <w:bCs/>
          <w:sz w:val="28"/>
          <w:szCs w:val="28"/>
        </w:rPr>
        <w:t xml:space="preserve">第八章  </w:t>
      </w:r>
      <w:r>
        <w:rPr>
          <w:rFonts w:ascii="宋体" w:hAnsi="宋体"/>
          <w:b/>
          <w:bCs/>
          <w:sz w:val="28"/>
          <w:szCs w:val="28"/>
        </w:rPr>
        <w:t xml:space="preserve"> </w:t>
      </w:r>
      <w:r>
        <w:rPr>
          <w:rFonts w:hint="eastAsia" w:ascii="宋体" w:hAnsi="宋体"/>
          <w:b/>
          <w:bCs/>
          <w:sz w:val="28"/>
          <w:szCs w:val="28"/>
        </w:rPr>
        <w:t>咨询服务收费</w:t>
      </w:r>
    </w:p>
    <w:p>
      <w:pPr>
        <w:adjustRightInd w:val="0"/>
        <w:snapToGrid w:val="0"/>
        <w:spacing w:line="360" w:lineRule="auto"/>
        <w:ind w:firstLine="562" w:firstLineChars="200"/>
        <w:rPr>
          <w:rFonts w:ascii="宋体" w:hAnsi="宋体"/>
          <w:sz w:val="28"/>
          <w:szCs w:val="28"/>
        </w:rPr>
      </w:pPr>
      <w:r>
        <w:rPr>
          <w:rFonts w:hint="eastAsia" w:ascii="宋体" w:hAnsi="宋体"/>
          <w:b/>
          <w:bCs/>
          <w:sz w:val="28"/>
          <w:szCs w:val="28"/>
        </w:rPr>
        <w:t>第十九条</w:t>
      </w:r>
      <w:r>
        <w:rPr>
          <w:rFonts w:hint="eastAsia" w:ascii="宋体" w:hAnsi="宋体"/>
          <w:sz w:val="28"/>
          <w:szCs w:val="28"/>
        </w:rPr>
        <w:t xml:space="preserve"> 全过程质量控制专项咨询不以营利为目的,根据工程项目规模、工期、复杂程度及服务内容等情况，与委托单位协商签订咨询服务协议，收取咨询服务费,并提供发票。</w:t>
      </w:r>
    </w:p>
    <w:p>
      <w:pPr>
        <w:adjustRightInd w:val="0"/>
        <w:snapToGrid w:val="0"/>
        <w:spacing w:line="360" w:lineRule="auto"/>
        <w:ind w:firstLine="562" w:firstLineChars="200"/>
        <w:rPr>
          <w:rFonts w:ascii="宋体" w:hAnsi="宋体"/>
          <w:sz w:val="28"/>
          <w:szCs w:val="28"/>
        </w:rPr>
      </w:pPr>
      <w:r>
        <w:rPr>
          <w:rFonts w:hint="eastAsia" w:ascii="宋体" w:hAnsi="宋体"/>
          <w:b/>
          <w:bCs/>
          <w:sz w:val="28"/>
          <w:szCs w:val="28"/>
        </w:rPr>
        <w:t>第二十条</w:t>
      </w:r>
      <w:r>
        <w:rPr>
          <w:rFonts w:hint="eastAsia" w:ascii="宋体" w:hAnsi="宋体"/>
          <w:sz w:val="28"/>
          <w:szCs w:val="28"/>
        </w:rPr>
        <w:t xml:space="preserve"> 专家组成员赴现场提供咨询服务的交通费、食宿费和劳务费由委托单位承担。</w:t>
      </w:r>
    </w:p>
    <w:p>
      <w:pPr>
        <w:adjustRightInd w:val="0"/>
        <w:snapToGrid w:val="0"/>
        <w:spacing w:line="360" w:lineRule="auto"/>
        <w:ind w:firstLine="562" w:firstLineChars="200"/>
        <w:jc w:val="center"/>
        <w:rPr>
          <w:rFonts w:ascii="宋体" w:hAnsi="宋体"/>
          <w:b/>
          <w:bCs/>
          <w:sz w:val="28"/>
          <w:szCs w:val="28"/>
        </w:rPr>
      </w:pPr>
      <w:r>
        <w:rPr>
          <w:rFonts w:hint="eastAsia" w:ascii="宋体" w:hAnsi="宋体"/>
          <w:b/>
          <w:bCs/>
          <w:sz w:val="28"/>
          <w:szCs w:val="28"/>
        </w:rPr>
        <w:t>第九章</w:t>
      </w:r>
      <w:r>
        <w:rPr>
          <w:rFonts w:ascii="宋体" w:hAnsi="宋体"/>
          <w:b/>
          <w:bCs/>
          <w:sz w:val="28"/>
          <w:szCs w:val="28"/>
        </w:rPr>
        <w:t xml:space="preserve">  </w:t>
      </w:r>
      <w:r>
        <w:rPr>
          <w:rFonts w:hint="eastAsia" w:ascii="宋体" w:hAnsi="宋体"/>
          <w:b/>
          <w:bCs/>
          <w:sz w:val="28"/>
          <w:szCs w:val="28"/>
        </w:rPr>
        <w:t>工作纪律</w:t>
      </w:r>
    </w:p>
    <w:p>
      <w:pPr>
        <w:snapToGrid w:val="0"/>
        <w:spacing w:line="360" w:lineRule="auto"/>
        <w:ind w:firstLine="562" w:firstLineChars="200"/>
        <w:rPr>
          <w:rFonts w:ascii="宋体" w:hAnsi="宋体"/>
          <w:bCs/>
          <w:sz w:val="28"/>
          <w:szCs w:val="28"/>
        </w:rPr>
      </w:pPr>
      <w:r>
        <w:rPr>
          <w:rFonts w:hint="eastAsia" w:ascii="宋体" w:hAnsi="宋体"/>
          <w:b/>
          <w:sz w:val="28"/>
          <w:szCs w:val="28"/>
        </w:rPr>
        <w:t>第二十一条</w:t>
      </w:r>
      <w:r>
        <w:rPr>
          <w:rFonts w:hint="eastAsia" w:ascii="宋体" w:hAnsi="宋体"/>
          <w:bCs/>
          <w:sz w:val="28"/>
          <w:szCs w:val="28"/>
        </w:rPr>
        <w:t xml:space="preserve"> 咨询专家与咨询服务项目相关方之间不得有利害关系。</w:t>
      </w:r>
    </w:p>
    <w:p>
      <w:pPr>
        <w:snapToGrid w:val="0"/>
        <w:spacing w:line="360" w:lineRule="auto"/>
        <w:ind w:firstLine="562" w:firstLineChars="200"/>
        <w:rPr>
          <w:rFonts w:ascii="宋体" w:hAnsi="宋体"/>
          <w:bCs/>
          <w:sz w:val="28"/>
          <w:szCs w:val="28"/>
        </w:rPr>
      </w:pPr>
      <w:r>
        <w:rPr>
          <w:rFonts w:hint="eastAsia" w:ascii="宋体" w:hAnsi="宋体"/>
          <w:b/>
          <w:sz w:val="28"/>
          <w:szCs w:val="28"/>
        </w:rPr>
        <w:t>第二十二条</w:t>
      </w: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协会工作人员及咨询专家应认真履职,严守秘密,廉洁自律,遵守中央八项规定,不得提出与咨询服务无关的要求。对违反相关规定的，视其情节给予批评警告，或取消相关资格。</w:t>
      </w:r>
    </w:p>
    <w:p>
      <w:pPr>
        <w:snapToGrid w:val="0"/>
        <w:spacing w:line="360" w:lineRule="auto"/>
        <w:ind w:firstLine="562" w:firstLineChars="200"/>
        <w:jc w:val="center"/>
        <w:rPr>
          <w:rFonts w:ascii="宋体" w:hAnsi="宋体"/>
          <w:b/>
          <w:sz w:val="28"/>
          <w:szCs w:val="28"/>
        </w:rPr>
      </w:pPr>
      <w:r>
        <w:rPr>
          <w:rFonts w:hint="eastAsia" w:ascii="宋体" w:hAnsi="宋体"/>
          <w:b/>
          <w:sz w:val="28"/>
          <w:szCs w:val="28"/>
        </w:rPr>
        <w:t xml:space="preserve">第十章 </w:t>
      </w:r>
      <w:r>
        <w:rPr>
          <w:rFonts w:ascii="宋体" w:hAnsi="宋体"/>
          <w:b/>
          <w:sz w:val="28"/>
          <w:szCs w:val="28"/>
        </w:rPr>
        <w:t xml:space="preserve">  </w:t>
      </w:r>
      <w:r>
        <w:rPr>
          <w:rFonts w:hint="eastAsia" w:ascii="宋体" w:hAnsi="宋体"/>
          <w:b/>
          <w:sz w:val="28"/>
          <w:szCs w:val="28"/>
        </w:rPr>
        <w:t>附则</w:t>
      </w:r>
    </w:p>
    <w:p>
      <w:pPr>
        <w:snapToGrid w:val="0"/>
        <w:spacing w:line="360" w:lineRule="auto"/>
        <w:ind w:firstLine="562" w:firstLineChars="200"/>
        <w:rPr>
          <w:rFonts w:ascii="宋体" w:hAnsi="宋体"/>
          <w:sz w:val="28"/>
          <w:szCs w:val="28"/>
        </w:rPr>
      </w:pPr>
      <w:r>
        <w:rPr>
          <w:rFonts w:hint="eastAsia" w:ascii="宋体" w:hAnsi="宋体"/>
          <w:b/>
          <w:sz w:val="28"/>
          <w:szCs w:val="28"/>
        </w:rPr>
        <w:t>第二十三条</w:t>
      </w:r>
      <w:r>
        <w:rPr>
          <w:rFonts w:hint="eastAsia" w:ascii="宋体" w:hAnsi="宋体"/>
          <w:sz w:val="28"/>
          <w:szCs w:val="28"/>
        </w:rPr>
        <w:t xml:space="preserve">  本办法由中国化工施工企业协会秘书处负责解释。</w:t>
      </w:r>
    </w:p>
    <w:p>
      <w:pPr>
        <w:snapToGrid w:val="0"/>
        <w:spacing w:line="360" w:lineRule="auto"/>
        <w:ind w:firstLine="562" w:firstLineChars="200"/>
        <w:rPr>
          <w:rFonts w:ascii="宋体" w:hAnsi="宋体"/>
          <w:sz w:val="28"/>
          <w:szCs w:val="28"/>
        </w:rPr>
      </w:pPr>
      <w:r>
        <w:rPr>
          <w:rFonts w:hint="eastAsia" w:ascii="宋体" w:hAnsi="宋体"/>
          <w:b/>
          <w:sz w:val="28"/>
          <w:szCs w:val="28"/>
        </w:rPr>
        <w:t>第二十四条</w:t>
      </w:r>
      <w:r>
        <w:rPr>
          <w:rFonts w:hint="eastAsia" w:ascii="宋体" w:hAnsi="宋体"/>
          <w:sz w:val="28"/>
          <w:szCs w:val="28"/>
        </w:rPr>
        <w:t xml:space="preserve">  本办法自发布之日起实行。</w:t>
      </w:r>
    </w:p>
    <w:p>
      <w:pPr>
        <w:widowControl/>
        <w:snapToGrid w:val="0"/>
        <w:spacing w:line="360" w:lineRule="auto"/>
        <w:jc w:val="left"/>
        <w:rPr>
          <w:rFonts w:ascii="宋体" w:hAnsi="宋体"/>
          <w:sz w:val="28"/>
          <w:szCs w:val="28"/>
        </w:rPr>
      </w:pPr>
      <w:r>
        <w:rPr>
          <w:rFonts w:ascii="宋体" w:hAnsi="宋体"/>
          <w:sz w:val="28"/>
          <w:szCs w:val="28"/>
        </w:rPr>
        <w:br w:type="page"/>
      </w:r>
    </w:p>
    <w:p>
      <w:pPr>
        <w:snapToGrid w:val="0"/>
        <w:spacing w:line="360" w:lineRule="auto"/>
        <w:ind w:firstLine="643" w:firstLineChars="200"/>
        <w:jc w:val="center"/>
        <w:rPr>
          <w:rFonts w:ascii="宋体" w:hAnsi="宋体"/>
          <w:b/>
          <w:bCs/>
          <w:sz w:val="32"/>
          <w:szCs w:val="32"/>
        </w:rPr>
      </w:pPr>
    </w:p>
    <w:p>
      <w:pPr>
        <w:snapToGrid w:val="0"/>
        <w:spacing w:line="360" w:lineRule="auto"/>
        <w:ind w:firstLine="643" w:firstLineChars="200"/>
        <w:jc w:val="center"/>
        <w:rPr>
          <w:rFonts w:ascii="宋体" w:hAnsi="宋体"/>
          <w:b/>
          <w:bCs/>
          <w:sz w:val="32"/>
          <w:szCs w:val="32"/>
        </w:rPr>
      </w:pPr>
      <w:r>
        <w:rPr>
          <w:rFonts w:hint="eastAsia" w:ascii="宋体" w:hAnsi="宋体"/>
          <w:b/>
          <w:bCs/>
          <w:sz w:val="32"/>
          <w:szCs w:val="32"/>
        </w:rPr>
        <w:t>附件一： 全过程质量咨询服务内容</w:t>
      </w:r>
    </w:p>
    <w:p>
      <w:pPr>
        <w:snapToGrid w:val="0"/>
        <w:spacing w:line="360" w:lineRule="auto"/>
        <w:ind w:firstLine="560" w:firstLineChars="200"/>
        <w:rPr>
          <w:rFonts w:ascii="宋体" w:hAnsi="宋体"/>
          <w:sz w:val="28"/>
          <w:szCs w:val="28"/>
        </w:rPr>
      </w:pPr>
      <w:bookmarkStart w:id="5" w:name="_Hlk111812999"/>
      <w:r>
        <w:rPr>
          <w:rFonts w:hint="eastAsia" w:ascii="宋体" w:hAnsi="宋体"/>
          <w:sz w:val="28"/>
          <w:szCs w:val="28"/>
        </w:rPr>
        <w:t>1 质量策划</w:t>
      </w:r>
    </w:p>
    <w:p>
      <w:pPr>
        <w:snapToGrid w:val="0"/>
        <w:spacing w:line="360" w:lineRule="auto"/>
        <w:ind w:firstLine="560" w:firstLineChars="200"/>
        <w:rPr>
          <w:rFonts w:ascii="宋体" w:hAnsi="宋体"/>
          <w:sz w:val="28"/>
          <w:szCs w:val="28"/>
        </w:rPr>
      </w:pPr>
      <w:r>
        <w:rPr>
          <w:rFonts w:hint="eastAsia" w:ascii="宋体" w:hAnsi="宋体"/>
          <w:sz w:val="28"/>
          <w:szCs w:val="28"/>
        </w:rPr>
        <w:t>1．1 管理策划</w:t>
      </w:r>
    </w:p>
    <w:p>
      <w:pPr>
        <w:snapToGrid w:val="0"/>
        <w:spacing w:line="360" w:lineRule="auto"/>
        <w:ind w:firstLine="560" w:firstLineChars="200"/>
        <w:rPr>
          <w:rFonts w:ascii="宋体" w:hAnsi="宋体"/>
          <w:sz w:val="28"/>
          <w:szCs w:val="28"/>
        </w:rPr>
      </w:pPr>
      <w:r>
        <w:rPr>
          <w:rFonts w:hint="eastAsia" w:ascii="宋体" w:hAnsi="宋体"/>
          <w:sz w:val="28"/>
          <w:szCs w:val="28"/>
        </w:rPr>
        <w:t>1.1.1 质量管理目标</w:t>
      </w:r>
    </w:p>
    <w:p>
      <w:pPr>
        <w:snapToGrid w:val="0"/>
        <w:spacing w:line="360" w:lineRule="auto"/>
        <w:ind w:firstLine="560" w:firstLineChars="200"/>
        <w:rPr>
          <w:rFonts w:ascii="宋体" w:hAnsi="宋体"/>
          <w:sz w:val="28"/>
          <w:szCs w:val="28"/>
        </w:rPr>
      </w:pPr>
      <w:r>
        <w:rPr>
          <w:rFonts w:hint="eastAsia" w:ascii="宋体" w:hAnsi="宋体"/>
          <w:sz w:val="28"/>
          <w:szCs w:val="28"/>
        </w:rPr>
        <w:t xml:space="preserve">1.1.2 质量管理体系 </w:t>
      </w:r>
    </w:p>
    <w:p>
      <w:pPr>
        <w:snapToGrid w:val="0"/>
        <w:spacing w:line="360" w:lineRule="auto"/>
        <w:ind w:firstLine="560" w:firstLineChars="200"/>
        <w:rPr>
          <w:rFonts w:ascii="宋体" w:hAnsi="宋体"/>
          <w:sz w:val="28"/>
          <w:szCs w:val="28"/>
        </w:rPr>
      </w:pPr>
      <w:r>
        <w:rPr>
          <w:rFonts w:hint="eastAsia" w:ascii="宋体" w:hAnsi="宋体"/>
          <w:sz w:val="28"/>
          <w:szCs w:val="28"/>
        </w:rPr>
        <w:t>1.1.3质量管理制度</w:t>
      </w:r>
    </w:p>
    <w:p>
      <w:pPr>
        <w:snapToGrid w:val="0"/>
        <w:spacing w:line="360" w:lineRule="auto"/>
        <w:ind w:firstLine="560" w:firstLineChars="200"/>
        <w:rPr>
          <w:rFonts w:ascii="宋体" w:hAnsi="宋体"/>
          <w:sz w:val="28"/>
          <w:szCs w:val="28"/>
        </w:rPr>
      </w:pPr>
      <w:r>
        <w:rPr>
          <w:rFonts w:hint="eastAsia" w:ascii="宋体" w:hAnsi="宋体"/>
          <w:sz w:val="28"/>
          <w:szCs w:val="28"/>
        </w:rPr>
        <w:t>1.1.4 质量风险识别与防控措施</w:t>
      </w:r>
    </w:p>
    <w:p>
      <w:pPr>
        <w:snapToGrid w:val="0"/>
        <w:spacing w:line="360" w:lineRule="auto"/>
        <w:ind w:firstLine="560" w:firstLineChars="200"/>
        <w:rPr>
          <w:rFonts w:ascii="宋体" w:hAnsi="宋体"/>
          <w:sz w:val="28"/>
          <w:szCs w:val="28"/>
        </w:rPr>
      </w:pPr>
      <w:r>
        <w:rPr>
          <w:rFonts w:hint="eastAsia" w:ascii="宋体" w:hAnsi="宋体"/>
          <w:sz w:val="28"/>
          <w:szCs w:val="28"/>
        </w:rPr>
        <w:t>1.15 质量管理实施方案</w:t>
      </w:r>
    </w:p>
    <w:p>
      <w:pPr>
        <w:snapToGrid w:val="0"/>
        <w:spacing w:line="360" w:lineRule="auto"/>
        <w:ind w:firstLine="560" w:firstLineChars="200"/>
        <w:rPr>
          <w:rFonts w:ascii="宋体" w:hAnsi="宋体"/>
          <w:sz w:val="28"/>
          <w:szCs w:val="28"/>
        </w:rPr>
      </w:pPr>
      <w:r>
        <w:rPr>
          <w:rFonts w:hint="eastAsia" w:ascii="宋体" w:hAnsi="宋体"/>
          <w:sz w:val="28"/>
          <w:szCs w:val="28"/>
        </w:rPr>
        <w:t>1.2 实体质量策划</w:t>
      </w:r>
    </w:p>
    <w:p>
      <w:pPr>
        <w:snapToGrid w:val="0"/>
        <w:spacing w:line="360" w:lineRule="auto"/>
        <w:ind w:firstLine="560" w:firstLineChars="200"/>
        <w:rPr>
          <w:rFonts w:ascii="宋体" w:hAnsi="宋体"/>
          <w:sz w:val="28"/>
          <w:szCs w:val="28"/>
        </w:rPr>
      </w:pPr>
      <w:r>
        <w:rPr>
          <w:rFonts w:hint="eastAsia" w:ascii="宋体" w:hAnsi="宋体"/>
          <w:sz w:val="28"/>
          <w:szCs w:val="28"/>
        </w:rPr>
        <w:t>1.2.1 分部分项工程与实体质量标准</w:t>
      </w:r>
    </w:p>
    <w:p>
      <w:pPr>
        <w:snapToGrid w:val="0"/>
        <w:spacing w:line="360" w:lineRule="auto"/>
        <w:ind w:firstLine="560" w:firstLineChars="200"/>
        <w:rPr>
          <w:rFonts w:ascii="宋体" w:hAnsi="宋体"/>
          <w:sz w:val="28"/>
          <w:szCs w:val="28"/>
        </w:rPr>
      </w:pPr>
      <w:r>
        <w:rPr>
          <w:rFonts w:hint="eastAsia" w:ascii="宋体" w:hAnsi="宋体"/>
          <w:sz w:val="28"/>
          <w:szCs w:val="28"/>
        </w:rPr>
        <w:t>1.2.2 施工工序工艺标准</w:t>
      </w:r>
    </w:p>
    <w:p>
      <w:pPr>
        <w:snapToGrid w:val="0"/>
        <w:spacing w:line="360" w:lineRule="auto"/>
        <w:ind w:firstLine="560" w:firstLineChars="200"/>
        <w:rPr>
          <w:rFonts w:ascii="宋体" w:hAnsi="宋体"/>
          <w:sz w:val="28"/>
          <w:szCs w:val="28"/>
        </w:rPr>
      </w:pPr>
      <w:r>
        <w:rPr>
          <w:rFonts w:hint="eastAsia" w:ascii="宋体" w:hAnsi="宋体"/>
          <w:sz w:val="28"/>
          <w:szCs w:val="28"/>
        </w:rPr>
        <w:t>1.2.3 样板计划和方案策划</w:t>
      </w:r>
    </w:p>
    <w:p>
      <w:pPr>
        <w:snapToGrid w:val="0"/>
        <w:spacing w:line="360" w:lineRule="auto"/>
        <w:ind w:firstLine="560" w:firstLineChars="200"/>
        <w:rPr>
          <w:rFonts w:ascii="宋体" w:hAnsi="宋体"/>
          <w:sz w:val="28"/>
          <w:szCs w:val="28"/>
        </w:rPr>
      </w:pPr>
      <w:r>
        <w:rPr>
          <w:rFonts w:hint="eastAsia" w:ascii="宋体" w:hAnsi="宋体"/>
          <w:sz w:val="28"/>
          <w:szCs w:val="28"/>
        </w:rPr>
        <w:t>2 质量培训</w:t>
      </w:r>
    </w:p>
    <w:p>
      <w:pPr>
        <w:snapToGrid w:val="0"/>
        <w:spacing w:line="360" w:lineRule="auto"/>
        <w:ind w:firstLine="560" w:firstLineChars="200"/>
        <w:rPr>
          <w:rFonts w:ascii="宋体" w:hAnsi="宋体"/>
          <w:sz w:val="28"/>
          <w:szCs w:val="28"/>
        </w:rPr>
      </w:pPr>
      <w:r>
        <w:rPr>
          <w:rFonts w:hint="eastAsia" w:ascii="宋体" w:hAnsi="宋体"/>
          <w:sz w:val="28"/>
          <w:szCs w:val="28"/>
        </w:rPr>
        <w:t>2.1 国家现行质量政策和法律法规</w:t>
      </w:r>
    </w:p>
    <w:p>
      <w:pPr>
        <w:snapToGrid w:val="0"/>
        <w:spacing w:line="360" w:lineRule="auto"/>
        <w:ind w:firstLine="560" w:firstLineChars="200"/>
        <w:rPr>
          <w:rFonts w:ascii="宋体" w:hAnsi="宋体"/>
          <w:sz w:val="28"/>
          <w:szCs w:val="28"/>
        </w:rPr>
      </w:pPr>
      <w:r>
        <w:rPr>
          <w:rFonts w:hint="eastAsia" w:ascii="宋体" w:hAnsi="宋体"/>
          <w:sz w:val="28"/>
          <w:szCs w:val="28"/>
        </w:rPr>
        <w:t>2.2 现行质量标准规范</w:t>
      </w:r>
    </w:p>
    <w:p>
      <w:pPr>
        <w:snapToGrid w:val="0"/>
        <w:spacing w:line="360" w:lineRule="auto"/>
        <w:ind w:firstLine="560" w:firstLineChars="200"/>
        <w:rPr>
          <w:rFonts w:ascii="宋体" w:hAnsi="宋体"/>
          <w:sz w:val="28"/>
          <w:szCs w:val="28"/>
        </w:rPr>
      </w:pPr>
      <w:r>
        <w:rPr>
          <w:rFonts w:hint="eastAsia" w:ascii="宋体" w:hAnsi="宋体"/>
          <w:sz w:val="28"/>
          <w:szCs w:val="28"/>
        </w:rPr>
        <w:t>2.3 工程文件编制管理</w:t>
      </w:r>
    </w:p>
    <w:p>
      <w:pPr>
        <w:snapToGrid w:val="0"/>
        <w:spacing w:line="360" w:lineRule="auto"/>
        <w:ind w:firstLine="560" w:firstLineChars="200"/>
        <w:rPr>
          <w:rFonts w:ascii="宋体" w:hAnsi="宋体"/>
          <w:sz w:val="28"/>
          <w:szCs w:val="28"/>
        </w:rPr>
      </w:pPr>
      <w:r>
        <w:rPr>
          <w:rFonts w:hint="eastAsia" w:ascii="宋体" w:hAnsi="宋体"/>
          <w:sz w:val="28"/>
          <w:szCs w:val="28"/>
        </w:rPr>
        <w:t>2.4 质量、安全、技术、信息化等先进做法和先进管理经验</w:t>
      </w:r>
    </w:p>
    <w:p>
      <w:pPr>
        <w:snapToGrid w:val="0"/>
        <w:spacing w:line="360" w:lineRule="auto"/>
        <w:ind w:firstLine="560" w:firstLineChars="200"/>
        <w:rPr>
          <w:rFonts w:ascii="宋体" w:hAnsi="宋体"/>
          <w:sz w:val="28"/>
          <w:szCs w:val="28"/>
        </w:rPr>
      </w:pPr>
      <w:r>
        <w:rPr>
          <w:rFonts w:hint="eastAsia" w:ascii="宋体" w:hAnsi="宋体"/>
          <w:sz w:val="28"/>
          <w:szCs w:val="28"/>
        </w:rPr>
        <w:t>2.5 质量创优管理要点及评优办法</w:t>
      </w:r>
    </w:p>
    <w:p>
      <w:pPr>
        <w:snapToGrid w:val="0"/>
        <w:spacing w:line="360" w:lineRule="auto"/>
        <w:ind w:firstLine="560" w:firstLineChars="200"/>
        <w:rPr>
          <w:rFonts w:ascii="宋体" w:hAnsi="宋体"/>
          <w:sz w:val="28"/>
          <w:szCs w:val="28"/>
        </w:rPr>
      </w:pPr>
      <w:r>
        <w:rPr>
          <w:rFonts w:hint="eastAsia" w:ascii="宋体" w:hAnsi="宋体"/>
          <w:sz w:val="28"/>
          <w:szCs w:val="28"/>
        </w:rPr>
        <w:t>3 技术服务</w:t>
      </w:r>
    </w:p>
    <w:p>
      <w:pPr>
        <w:snapToGrid w:val="0"/>
        <w:spacing w:line="360" w:lineRule="auto"/>
        <w:ind w:firstLine="560" w:firstLineChars="200"/>
        <w:rPr>
          <w:rFonts w:ascii="宋体" w:hAnsi="宋体"/>
          <w:sz w:val="28"/>
          <w:szCs w:val="28"/>
        </w:rPr>
      </w:pPr>
      <w:r>
        <w:rPr>
          <w:rFonts w:hint="eastAsia" w:ascii="宋体" w:hAnsi="宋体"/>
          <w:sz w:val="28"/>
          <w:szCs w:val="28"/>
        </w:rPr>
        <w:t>3.1设计方案编制咨询</w:t>
      </w:r>
    </w:p>
    <w:p>
      <w:pPr>
        <w:snapToGrid w:val="0"/>
        <w:spacing w:line="360" w:lineRule="auto"/>
        <w:ind w:firstLine="560" w:firstLineChars="200"/>
        <w:rPr>
          <w:rFonts w:ascii="宋体" w:hAnsi="宋体"/>
          <w:sz w:val="28"/>
          <w:szCs w:val="28"/>
        </w:rPr>
      </w:pPr>
      <w:r>
        <w:rPr>
          <w:rFonts w:hint="eastAsia" w:ascii="宋体" w:hAnsi="宋体"/>
          <w:sz w:val="28"/>
          <w:szCs w:val="28"/>
        </w:rPr>
        <w:t>3.2施工组织设计和重大专项方案咨询</w:t>
      </w:r>
    </w:p>
    <w:p>
      <w:pPr>
        <w:snapToGrid w:val="0"/>
        <w:spacing w:line="360" w:lineRule="auto"/>
        <w:ind w:firstLine="560" w:firstLineChars="200"/>
        <w:rPr>
          <w:rFonts w:ascii="宋体" w:hAnsi="宋体"/>
          <w:sz w:val="28"/>
          <w:szCs w:val="28"/>
        </w:rPr>
      </w:pPr>
      <w:r>
        <w:rPr>
          <w:rFonts w:hint="eastAsia" w:ascii="宋体" w:hAnsi="宋体"/>
          <w:sz w:val="28"/>
          <w:szCs w:val="28"/>
        </w:rPr>
        <w:t>3.3重大危险源辨识和预防控制措施咨询</w:t>
      </w:r>
    </w:p>
    <w:p>
      <w:pPr>
        <w:snapToGrid w:val="0"/>
        <w:spacing w:line="360" w:lineRule="auto"/>
        <w:ind w:firstLine="560" w:firstLineChars="200"/>
        <w:rPr>
          <w:rFonts w:ascii="宋体" w:hAnsi="宋体"/>
          <w:sz w:val="28"/>
          <w:szCs w:val="28"/>
        </w:rPr>
      </w:pPr>
      <w:r>
        <w:rPr>
          <w:rFonts w:hint="eastAsia" w:ascii="宋体" w:hAnsi="宋体"/>
          <w:sz w:val="28"/>
          <w:szCs w:val="28"/>
        </w:rPr>
        <w:t>3.4 提供各专项论证的专家与咨询</w:t>
      </w:r>
    </w:p>
    <w:p>
      <w:pPr>
        <w:snapToGrid w:val="0"/>
        <w:spacing w:line="360" w:lineRule="auto"/>
        <w:ind w:firstLine="560" w:firstLineChars="200"/>
        <w:rPr>
          <w:rFonts w:ascii="宋体" w:hAnsi="宋体"/>
          <w:sz w:val="28"/>
          <w:szCs w:val="28"/>
        </w:rPr>
      </w:pPr>
      <w:r>
        <w:rPr>
          <w:rFonts w:hint="eastAsia" w:ascii="宋体" w:hAnsi="宋体"/>
          <w:sz w:val="28"/>
          <w:szCs w:val="28"/>
        </w:rPr>
        <w:t>4 检查指导</w:t>
      </w:r>
    </w:p>
    <w:p>
      <w:pPr>
        <w:snapToGrid w:val="0"/>
        <w:spacing w:line="360" w:lineRule="auto"/>
        <w:ind w:firstLine="560" w:firstLineChars="200"/>
        <w:rPr>
          <w:rFonts w:ascii="宋体" w:hAnsi="宋体"/>
          <w:sz w:val="28"/>
          <w:szCs w:val="28"/>
        </w:rPr>
      </w:pPr>
      <w:r>
        <w:rPr>
          <w:rFonts w:hint="eastAsia" w:ascii="宋体" w:hAnsi="宋体"/>
          <w:sz w:val="28"/>
          <w:szCs w:val="28"/>
        </w:rPr>
        <w:t>4.1 核查设计文件的落实执行情况</w:t>
      </w:r>
    </w:p>
    <w:p>
      <w:pPr>
        <w:snapToGrid w:val="0"/>
        <w:spacing w:line="360" w:lineRule="auto"/>
        <w:ind w:firstLine="560" w:firstLineChars="200"/>
        <w:rPr>
          <w:rFonts w:ascii="宋体" w:hAnsi="宋体"/>
          <w:sz w:val="28"/>
          <w:szCs w:val="28"/>
        </w:rPr>
      </w:pPr>
      <w:r>
        <w:rPr>
          <w:rFonts w:hint="eastAsia" w:ascii="宋体" w:hAnsi="宋体"/>
          <w:sz w:val="28"/>
          <w:szCs w:val="28"/>
        </w:rPr>
        <w:t>4.2 核查策划、方案及措施执行效果</w:t>
      </w:r>
    </w:p>
    <w:p>
      <w:pPr>
        <w:snapToGrid w:val="0"/>
        <w:spacing w:line="360" w:lineRule="auto"/>
        <w:ind w:firstLine="560" w:firstLineChars="200"/>
        <w:rPr>
          <w:rFonts w:ascii="宋体" w:hAnsi="宋体"/>
          <w:sz w:val="28"/>
          <w:szCs w:val="28"/>
        </w:rPr>
      </w:pPr>
      <w:r>
        <w:rPr>
          <w:rFonts w:hint="eastAsia" w:ascii="宋体" w:hAnsi="宋体"/>
          <w:sz w:val="28"/>
          <w:szCs w:val="28"/>
        </w:rPr>
        <w:t>4.3 排查质量、安全、性能、节能环保隐患和缺陷</w:t>
      </w:r>
    </w:p>
    <w:p>
      <w:pPr>
        <w:snapToGrid w:val="0"/>
        <w:spacing w:line="360" w:lineRule="auto"/>
        <w:ind w:firstLine="560" w:firstLineChars="200"/>
        <w:rPr>
          <w:rFonts w:ascii="宋体" w:hAnsi="宋体"/>
          <w:sz w:val="28"/>
          <w:szCs w:val="28"/>
        </w:rPr>
      </w:pPr>
      <w:r>
        <w:rPr>
          <w:rFonts w:hint="eastAsia" w:ascii="宋体" w:hAnsi="宋体"/>
          <w:sz w:val="28"/>
          <w:szCs w:val="28"/>
        </w:rPr>
        <w:t>4.4 复核质量问题处理效果,促进质量问题整改闭环</w:t>
      </w:r>
    </w:p>
    <w:p>
      <w:pPr>
        <w:snapToGrid w:val="0"/>
        <w:spacing w:line="360" w:lineRule="auto"/>
        <w:ind w:firstLine="560" w:firstLineChars="200"/>
        <w:rPr>
          <w:rFonts w:ascii="宋体" w:hAnsi="宋体"/>
          <w:sz w:val="28"/>
          <w:szCs w:val="28"/>
        </w:rPr>
      </w:pPr>
      <w:r>
        <w:rPr>
          <w:rFonts w:hint="eastAsia" w:ascii="宋体" w:hAnsi="宋体"/>
          <w:sz w:val="28"/>
          <w:szCs w:val="28"/>
        </w:rPr>
        <w:t>4.5 指导工程施工过程质量验收和竣工验收</w:t>
      </w:r>
    </w:p>
    <w:p>
      <w:pPr>
        <w:snapToGrid w:val="0"/>
        <w:spacing w:line="360" w:lineRule="auto"/>
        <w:ind w:firstLine="560" w:firstLineChars="200"/>
        <w:rPr>
          <w:rFonts w:ascii="宋体" w:hAnsi="宋体"/>
          <w:sz w:val="28"/>
          <w:szCs w:val="28"/>
        </w:rPr>
      </w:pPr>
      <w:r>
        <w:rPr>
          <w:rFonts w:hint="eastAsia" w:ascii="宋体" w:hAnsi="宋体"/>
          <w:sz w:val="28"/>
          <w:szCs w:val="28"/>
        </w:rPr>
        <w:t>4.6 预检创建优质工程实施效果</w:t>
      </w:r>
    </w:p>
    <w:p>
      <w:pPr>
        <w:snapToGrid w:val="0"/>
        <w:spacing w:line="360" w:lineRule="auto"/>
        <w:ind w:firstLine="560" w:firstLineChars="200"/>
        <w:rPr>
          <w:rFonts w:ascii="宋体" w:hAnsi="宋体"/>
          <w:sz w:val="28"/>
          <w:szCs w:val="28"/>
        </w:rPr>
      </w:pPr>
      <w:r>
        <w:rPr>
          <w:rFonts w:hint="eastAsia" w:ascii="宋体" w:hAnsi="宋体"/>
          <w:sz w:val="28"/>
          <w:szCs w:val="28"/>
        </w:rPr>
        <w:t>4.7 检查实施效果并做出评估</w:t>
      </w:r>
    </w:p>
    <w:p>
      <w:pPr>
        <w:snapToGrid w:val="0"/>
        <w:spacing w:line="360" w:lineRule="auto"/>
        <w:ind w:firstLine="560" w:firstLineChars="200"/>
        <w:rPr>
          <w:rFonts w:ascii="宋体" w:hAnsi="宋体"/>
          <w:sz w:val="28"/>
          <w:szCs w:val="28"/>
        </w:rPr>
      </w:pPr>
      <w:r>
        <w:rPr>
          <w:rFonts w:hint="eastAsia" w:ascii="宋体" w:hAnsi="宋体"/>
          <w:sz w:val="28"/>
          <w:szCs w:val="28"/>
        </w:rPr>
        <w:t>5 质量评估</w:t>
      </w:r>
    </w:p>
    <w:p>
      <w:pPr>
        <w:snapToGrid w:val="0"/>
        <w:spacing w:line="360" w:lineRule="auto"/>
        <w:ind w:firstLine="560" w:firstLineChars="200"/>
        <w:rPr>
          <w:rFonts w:ascii="宋体" w:hAnsi="宋体"/>
          <w:sz w:val="28"/>
          <w:szCs w:val="28"/>
        </w:rPr>
      </w:pPr>
      <w:r>
        <w:rPr>
          <w:rFonts w:hint="eastAsia" w:ascii="宋体" w:hAnsi="宋体"/>
          <w:sz w:val="28"/>
          <w:szCs w:val="28"/>
        </w:rPr>
        <w:t>5.1 建设工程项目质量管理评估</w:t>
      </w:r>
    </w:p>
    <w:p>
      <w:pPr>
        <w:snapToGrid w:val="0"/>
        <w:spacing w:line="360" w:lineRule="auto"/>
        <w:ind w:firstLine="560" w:firstLineChars="200"/>
        <w:rPr>
          <w:rFonts w:ascii="宋体" w:hAnsi="宋体"/>
          <w:sz w:val="28"/>
          <w:szCs w:val="28"/>
        </w:rPr>
      </w:pPr>
      <w:r>
        <w:rPr>
          <w:rFonts w:hint="eastAsia" w:ascii="宋体" w:hAnsi="宋体"/>
          <w:sz w:val="28"/>
          <w:szCs w:val="28"/>
        </w:rPr>
        <w:t>5.2 建设工程项目实体质量评估</w:t>
      </w:r>
    </w:p>
    <w:p>
      <w:pPr>
        <w:snapToGrid w:val="0"/>
        <w:spacing w:line="360" w:lineRule="auto"/>
        <w:ind w:firstLine="560" w:firstLineChars="200"/>
        <w:rPr>
          <w:rFonts w:ascii="宋体" w:hAnsi="宋体"/>
          <w:sz w:val="28"/>
          <w:szCs w:val="28"/>
        </w:rPr>
      </w:pPr>
      <w:r>
        <w:rPr>
          <w:rFonts w:hint="eastAsia" w:ascii="宋体" w:hAnsi="宋体"/>
          <w:sz w:val="28"/>
          <w:szCs w:val="28"/>
        </w:rPr>
        <w:t>5.3 建设工程项目经济性评估</w:t>
      </w:r>
    </w:p>
    <w:p>
      <w:pPr>
        <w:snapToGrid w:val="0"/>
        <w:spacing w:line="360" w:lineRule="auto"/>
        <w:ind w:firstLine="560" w:firstLineChars="200"/>
        <w:rPr>
          <w:rFonts w:ascii="宋体" w:hAnsi="宋体"/>
          <w:sz w:val="28"/>
          <w:szCs w:val="28"/>
        </w:rPr>
      </w:pPr>
      <w:r>
        <w:rPr>
          <w:rFonts w:hint="eastAsia" w:ascii="宋体" w:hAnsi="宋体"/>
          <w:sz w:val="28"/>
          <w:szCs w:val="28"/>
        </w:rPr>
        <w:t>5.4 建设工程项目质量综合评估</w:t>
      </w:r>
    </w:p>
    <w:p>
      <w:pPr>
        <w:snapToGrid w:val="0"/>
        <w:spacing w:line="360" w:lineRule="auto"/>
        <w:ind w:firstLine="560" w:firstLineChars="200"/>
        <w:rPr>
          <w:rFonts w:ascii="宋体" w:hAnsi="宋体"/>
          <w:sz w:val="28"/>
          <w:szCs w:val="28"/>
        </w:rPr>
      </w:pPr>
      <w:r>
        <w:rPr>
          <w:rFonts w:hint="eastAsia" w:ascii="宋体" w:hAnsi="宋体"/>
          <w:sz w:val="28"/>
          <w:szCs w:val="28"/>
        </w:rPr>
        <w:t>6其他咨询服务</w:t>
      </w:r>
    </w:p>
    <w:p>
      <w:pPr>
        <w:snapToGrid w:val="0"/>
        <w:spacing w:line="360" w:lineRule="auto"/>
        <w:ind w:firstLine="560" w:firstLineChars="200"/>
        <w:rPr>
          <w:rFonts w:ascii="宋体" w:hAnsi="宋体"/>
          <w:sz w:val="28"/>
          <w:szCs w:val="28"/>
        </w:rPr>
      </w:pPr>
      <w:r>
        <w:rPr>
          <w:rFonts w:hint="eastAsia" w:ascii="宋体" w:hAnsi="宋体"/>
          <w:sz w:val="28"/>
          <w:szCs w:val="28"/>
        </w:rPr>
        <w:t>质量、安全和技术等日常管理咨询及其他咨询</w:t>
      </w:r>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901"/>
    <w:multiLevelType w:val="multilevel"/>
    <w:tmpl w:val="05814901"/>
    <w:lvl w:ilvl="0" w:tentative="0">
      <w:start w:val="1"/>
      <w:numFmt w:val="decimal"/>
      <w:pStyle w:val="13"/>
      <w:lvlText w:val="%1)"/>
      <w:lvlJc w:val="left"/>
      <w:pPr>
        <w:ind w:left="420" w:hanging="420"/>
      </w:pPr>
    </w:lvl>
    <w:lvl w:ilvl="1" w:tentative="0">
      <w:start w:val="1"/>
      <w:numFmt w:val="lowerLetter"/>
      <w:pStyle w:val="17"/>
      <w:lvlText w:val="%2)"/>
      <w:lvlJc w:val="left"/>
      <w:pPr>
        <w:ind w:left="840" w:hanging="420"/>
      </w:pPr>
    </w:lvl>
    <w:lvl w:ilvl="2" w:tentative="0">
      <w:start w:val="1"/>
      <w:numFmt w:val="lowerRoman"/>
      <w:pStyle w:val="12"/>
      <w:lvlText w:val="%3."/>
      <w:lvlJc w:val="right"/>
      <w:pPr>
        <w:ind w:left="1260" w:hanging="420"/>
      </w:pPr>
    </w:lvl>
    <w:lvl w:ilvl="3" w:tentative="0">
      <w:start w:val="1"/>
      <w:numFmt w:val="decimal"/>
      <w:pStyle w:val="15"/>
      <w:lvlText w:val="%4."/>
      <w:lvlJc w:val="left"/>
      <w:pPr>
        <w:ind w:left="1680" w:hanging="420"/>
      </w:pPr>
    </w:lvl>
    <w:lvl w:ilvl="4" w:tentative="0">
      <w:start w:val="1"/>
      <w:numFmt w:val="lowerLetter"/>
      <w:pStyle w:val="14"/>
      <w:lvlText w:val="%5)"/>
      <w:lvlJc w:val="left"/>
      <w:pPr>
        <w:ind w:left="2100" w:hanging="420"/>
      </w:pPr>
    </w:lvl>
    <w:lvl w:ilvl="5" w:tentative="0">
      <w:start w:val="1"/>
      <w:numFmt w:val="lowerRoman"/>
      <w:pStyle w:val="16"/>
      <w:lvlText w:val="%6."/>
      <w:lvlJc w:val="right"/>
      <w:pPr>
        <w:ind w:left="2520" w:hanging="420"/>
      </w:pPr>
    </w:lvl>
    <w:lvl w:ilvl="6" w:tentative="0">
      <w:start w:val="1"/>
      <w:numFmt w:val="decimal"/>
      <w:pStyle w:val="2"/>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1B"/>
    <w:rsid w:val="00023C95"/>
    <w:rsid w:val="00023FBE"/>
    <w:rsid w:val="000403CA"/>
    <w:rsid w:val="000436C3"/>
    <w:rsid w:val="00063D71"/>
    <w:rsid w:val="00073312"/>
    <w:rsid w:val="00080869"/>
    <w:rsid w:val="00081F56"/>
    <w:rsid w:val="000A0AAE"/>
    <w:rsid w:val="000C0C59"/>
    <w:rsid w:val="000C39A7"/>
    <w:rsid w:val="000C6FCB"/>
    <w:rsid w:val="000D7C81"/>
    <w:rsid w:val="001037A3"/>
    <w:rsid w:val="00121464"/>
    <w:rsid w:val="001416F6"/>
    <w:rsid w:val="001704CB"/>
    <w:rsid w:val="00191492"/>
    <w:rsid w:val="0019446F"/>
    <w:rsid w:val="001C2173"/>
    <w:rsid w:val="001C319C"/>
    <w:rsid w:val="001D14C3"/>
    <w:rsid w:val="001E0F5F"/>
    <w:rsid w:val="001E3898"/>
    <w:rsid w:val="001F31CD"/>
    <w:rsid w:val="0020616D"/>
    <w:rsid w:val="0021516F"/>
    <w:rsid w:val="002245C4"/>
    <w:rsid w:val="00224663"/>
    <w:rsid w:val="00230A5C"/>
    <w:rsid w:val="00237893"/>
    <w:rsid w:val="0026129C"/>
    <w:rsid w:val="002646AD"/>
    <w:rsid w:val="00276C09"/>
    <w:rsid w:val="00281C83"/>
    <w:rsid w:val="002D5861"/>
    <w:rsid w:val="002D61E0"/>
    <w:rsid w:val="002F6D3E"/>
    <w:rsid w:val="00307DB1"/>
    <w:rsid w:val="003248C9"/>
    <w:rsid w:val="00327707"/>
    <w:rsid w:val="003338C6"/>
    <w:rsid w:val="003709A4"/>
    <w:rsid w:val="00381E38"/>
    <w:rsid w:val="003826F6"/>
    <w:rsid w:val="003B0AFE"/>
    <w:rsid w:val="003C0E7F"/>
    <w:rsid w:val="003E13BA"/>
    <w:rsid w:val="003E1BE1"/>
    <w:rsid w:val="003E2002"/>
    <w:rsid w:val="003F2705"/>
    <w:rsid w:val="00414ACD"/>
    <w:rsid w:val="0043226D"/>
    <w:rsid w:val="00432DF1"/>
    <w:rsid w:val="004346D5"/>
    <w:rsid w:val="004355E9"/>
    <w:rsid w:val="00442DB1"/>
    <w:rsid w:val="00444341"/>
    <w:rsid w:val="00455573"/>
    <w:rsid w:val="004601A0"/>
    <w:rsid w:val="00480F16"/>
    <w:rsid w:val="004825A0"/>
    <w:rsid w:val="00487982"/>
    <w:rsid w:val="004A308F"/>
    <w:rsid w:val="004D48D9"/>
    <w:rsid w:val="00500D95"/>
    <w:rsid w:val="005036B3"/>
    <w:rsid w:val="00513909"/>
    <w:rsid w:val="00514C28"/>
    <w:rsid w:val="00520BC0"/>
    <w:rsid w:val="00535DA9"/>
    <w:rsid w:val="0054191F"/>
    <w:rsid w:val="00561880"/>
    <w:rsid w:val="00575A0D"/>
    <w:rsid w:val="00576F4E"/>
    <w:rsid w:val="0058701A"/>
    <w:rsid w:val="005950F5"/>
    <w:rsid w:val="005A3B4A"/>
    <w:rsid w:val="005A3CBF"/>
    <w:rsid w:val="005A7164"/>
    <w:rsid w:val="005B1D42"/>
    <w:rsid w:val="005B3233"/>
    <w:rsid w:val="005B7933"/>
    <w:rsid w:val="005D2EE5"/>
    <w:rsid w:val="005D4AED"/>
    <w:rsid w:val="00621BB6"/>
    <w:rsid w:val="00631120"/>
    <w:rsid w:val="00631705"/>
    <w:rsid w:val="0065678F"/>
    <w:rsid w:val="006618D4"/>
    <w:rsid w:val="00662673"/>
    <w:rsid w:val="00683F59"/>
    <w:rsid w:val="006A3BF8"/>
    <w:rsid w:val="006C6D32"/>
    <w:rsid w:val="006D0BEC"/>
    <w:rsid w:val="006E18E0"/>
    <w:rsid w:val="006F06A8"/>
    <w:rsid w:val="006F5515"/>
    <w:rsid w:val="0070042F"/>
    <w:rsid w:val="00705A6E"/>
    <w:rsid w:val="0071713B"/>
    <w:rsid w:val="007211D3"/>
    <w:rsid w:val="0072359C"/>
    <w:rsid w:val="0072417E"/>
    <w:rsid w:val="00725AEA"/>
    <w:rsid w:val="0072795C"/>
    <w:rsid w:val="00745DDA"/>
    <w:rsid w:val="007543C1"/>
    <w:rsid w:val="007576E6"/>
    <w:rsid w:val="00764593"/>
    <w:rsid w:val="0076683B"/>
    <w:rsid w:val="00774EDD"/>
    <w:rsid w:val="007B627E"/>
    <w:rsid w:val="007C2278"/>
    <w:rsid w:val="007D02DD"/>
    <w:rsid w:val="007D2C5E"/>
    <w:rsid w:val="007E69FE"/>
    <w:rsid w:val="007F0287"/>
    <w:rsid w:val="00800049"/>
    <w:rsid w:val="0081771D"/>
    <w:rsid w:val="008356A5"/>
    <w:rsid w:val="008468A9"/>
    <w:rsid w:val="008512D0"/>
    <w:rsid w:val="0087527B"/>
    <w:rsid w:val="00876222"/>
    <w:rsid w:val="00891A60"/>
    <w:rsid w:val="008A6F49"/>
    <w:rsid w:val="008B38BD"/>
    <w:rsid w:val="008B583B"/>
    <w:rsid w:val="008F5948"/>
    <w:rsid w:val="008F652F"/>
    <w:rsid w:val="00903AA0"/>
    <w:rsid w:val="00906602"/>
    <w:rsid w:val="00910751"/>
    <w:rsid w:val="00915A72"/>
    <w:rsid w:val="0092233D"/>
    <w:rsid w:val="00934BB8"/>
    <w:rsid w:val="00936892"/>
    <w:rsid w:val="00937FF7"/>
    <w:rsid w:val="009454C7"/>
    <w:rsid w:val="009525D9"/>
    <w:rsid w:val="00952FBB"/>
    <w:rsid w:val="009531F6"/>
    <w:rsid w:val="00961264"/>
    <w:rsid w:val="00972548"/>
    <w:rsid w:val="00974EC6"/>
    <w:rsid w:val="00980808"/>
    <w:rsid w:val="00982825"/>
    <w:rsid w:val="0099385C"/>
    <w:rsid w:val="009B15A8"/>
    <w:rsid w:val="009C03D7"/>
    <w:rsid w:val="009E339C"/>
    <w:rsid w:val="009E7229"/>
    <w:rsid w:val="009F3EE1"/>
    <w:rsid w:val="009F48CD"/>
    <w:rsid w:val="00A00C9A"/>
    <w:rsid w:val="00A02CB7"/>
    <w:rsid w:val="00A2746C"/>
    <w:rsid w:val="00A738EF"/>
    <w:rsid w:val="00A74EF9"/>
    <w:rsid w:val="00A7710B"/>
    <w:rsid w:val="00A834A4"/>
    <w:rsid w:val="00A85570"/>
    <w:rsid w:val="00A96465"/>
    <w:rsid w:val="00AA32BE"/>
    <w:rsid w:val="00AA34D1"/>
    <w:rsid w:val="00AA43D4"/>
    <w:rsid w:val="00AE3AEB"/>
    <w:rsid w:val="00AE46D2"/>
    <w:rsid w:val="00AF0FAD"/>
    <w:rsid w:val="00AF54C7"/>
    <w:rsid w:val="00B04D45"/>
    <w:rsid w:val="00B306AA"/>
    <w:rsid w:val="00B32389"/>
    <w:rsid w:val="00B5548B"/>
    <w:rsid w:val="00B721CD"/>
    <w:rsid w:val="00B731D1"/>
    <w:rsid w:val="00B839EF"/>
    <w:rsid w:val="00BB63F0"/>
    <w:rsid w:val="00BC6F90"/>
    <w:rsid w:val="00BD4BEF"/>
    <w:rsid w:val="00BE0993"/>
    <w:rsid w:val="00C00DBD"/>
    <w:rsid w:val="00C2612E"/>
    <w:rsid w:val="00C26250"/>
    <w:rsid w:val="00C31F20"/>
    <w:rsid w:val="00C35EA2"/>
    <w:rsid w:val="00C4326A"/>
    <w:rsid w:val="00C435CF"/>
    <w:rsid w:val="00C60DE5"/>
    <w:rsid w:val="00C64ABC"/>
    <w:rsid w:val="00C821E7"/>
    <w:rsid w:val="00C8330F"/>
    <w:rsid w:val="00CA24E5"/>
    <w:rsid w:val="00CA2A83"/>
    <w:rsid w:val="00CF1BFE"/>
    <w:rsid w:val="00CF38D3"/>
    <w:rsid w:val="00D1114B"/>
    <w:rsid w:val="00D20B05"/>
    <w:rsid w:val="00D22B31"/>
    <w:rsid w:val="00D24CD3"/>
    <w:rsid w:val="00D40E77"/>
    <w:rsid w:val="00D53CAA"/>
    <w:rsid w:val="00D64291"/>
    <w:rsid w:val="00D663D9"/>
    <w:rsid w:val="00D72CAE"/>
    <w:rsid w:val="00D73CF0"/>
    <w:rsid w:val="00D76CB8"/>
    <w:rsid w:val="00D776AA"/>
    <w:rsid w:val="00D80DFC"/>
    <w:rsid w:val="00D8531E"/>
    <w:rsid w:val="00D9749E"/>
    <w:rsid w:val="00DA300F"/>
    <w:rsid w:val="00DB085C"/>
    <w:rsid w:val="00DB24A4"/>
    <w:rsid w:val="00DC205B"/>
    <w:rsid w:val="00DD5C8F"/>
    <w:rsid w:val="00DE5B33"/>
    <w:rsid w:val="00DF1B9D"/>
    <w:rsid w:val="00E00E1B"/>
    <w:rsid w:val="00E01916"/>
    <w:rsid w:val="00E23938"/>
    <w:rsid w:val="00E46A21"/>
    <w:rsid w:val="00E5446F"/>
    <w:rsid w:val="00E554B2"/>
    <w:rsid w:val="00E60FE4"/>
    <w:rsid w:val="00E74163"/>
    <w:rsid w:val="00E7534D"/>
    <w:rsid w:val="00E765CB"/>
    <w:rsid w:val="00E8769A"/>
    <w:rsid w:val="00E94720"/>
    <w:rsid w:val="00E9587A"/>
    <w:rsid w:val="00E978EB"/>
    <w:rsid w:val="00EC158E"/>
    <w:rsid w:val="00ED386F"/>
    <w:rsid w:val="00EE241B"/>
    <w:rsid w:val="00F00EE4"/>
    <w:rsid w:val="00F200AF"/>
    <w:rsid w:val="00F32BDD"/>
    <w:rsid w:val="00F44484"/>
    <w:rsid w:val="00F45637"/>
    <w:rsid w:val="00F472AC"/>
    <w:rsid w:val="00F60D99"/>
    <w:rsid w:val="00F61BB1"/>
    <w:rsid w:val="00F7080C"/>
    <w:rsid w:val="00F720E3"/>
    <w:rsid w:val="00F83765"/>
    <w:rsid w:val="00F84760"/>
    <w:rsid w:val="00F850C5"/>
    <w:rsid w:val="00FD4EEA"/>
    <w:rsid w:val="00FE0822"/>
    <w:rsid w:val="709E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numPr>
        <w:ilvl w:val="6"/>
        <w:numId w:val="1"/>
      </w:numPr>
    </w:pPr>
    <w:rPr>
      <w:rFonts w:ascii="宋体" w:hAnsi="Courier New" w:eastAsia="仿宋_GB2312" w:cstheme="minorBidi"/>
      <w:szCs w:val="2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ascii="Times New Roman" w:hAnsi="Times New Roman" w:eastAsia="宋体" w:cs="Times New Roman"/>
      <w:sz w:val="18"/>
      <w:szCs w:val="18"/>
    </w:rPr>
  </w:style>
  <w:style w:type="character" w:customStyle="1" w:styleId="9">
    <w:name w:val="页脚 字符"/>
    <w:basedOn w:val="7"/>
    <w:link w:val="3"/>
    <w:uiPriority w:val="99"/>
    <w:rPr>
      <w:rFonts w:ascii="Times New Roman" w:hAnsi="Times New Roman" w:eastAsia="宋体" w:cs="Times New Roman"/>
      <w:sz w:val="18"/>
      <w:szCs w:val="18"/>
    </w:rPr>
  </w:style>
  <w:style w:type="character" w:customStyle="1" w:styleId="10">
    <w:name w:val="纯文本 字符"/>
    <w:basedOn w:val="7"/>
    <w:link w:val="2"/>
    <w:uiPriority w:val="0"/>
    <w:rPr>
      <w:rFonts w:ascii="宋体" w:hAnsi="Courier New" w:eastAsia="仿宋_GB2312"/>
    </w:rPr>
  </w:style>
  <w:style w:type="paragraph" w:customStyle="1" w:styleId="11">
    <w:name w:val="列出段落1"/>
    <w:basedOn w:val="1"/>
    <w:qFormat/>
    <w:uiPriority w:val="0"/>
    <w:pPr>
      <w:ind w:firstLine="420" w:firstLineChars="200"/>
    </w:pPr>
    <w:rPr>
      <w:rFonts w:ascii="等线" w:hAnsi="等线" w:eastAsia="等线"/>
      <w:szCs w:val="22"/>
    </w:rPr>
  </w:style>
  <w:style w:type="paragraph" w:customStyle="1" w:styleId="12">
    <w:name w:val="三级条标题"/>
    <w:basedOn w:val="1"/>
    <w:next w:val="13"/>
    <w:qFormat/>
    <w:uiPriority w:val="0"/>
    <w:pPr>
      <w:widowControl/>
      <w:numPr>
        <w:ilvl w:val="2"/>
        <w:numId w:val="1"/>
      </w:numPr>
      <w:tabs>
        <w:tab w:val="left" w:pos="1125"/>
        <w:tab w:val="left" w:pos="3600"/>
      </w:tabs>
      <w:ind w:left="3600" w:hanging="360"/>
      <w:outlineLvl w:val="4"/>
    </w:pPr>
    <w:rPr>
      <w:rFonts w:hint="eastAsia" w:ascii="黑体" w:eastAsia="黑体"/>
      <w:kern w:val="0"/>
      <w:szCs w:val="20"/>
    </w:rPr>
  </w:style>
  <w:style w:type="paragraph" w:customStyle="1" w:styleId="13">
    <w:name w:val="段"/>
    <w:uiPriority w:val="0"/>
    <w:pPr>
      <w:numPr>
        <w:ilvl w:val="0"/>
        <w:numId w:val="1"/>
      </w:numPr>
      <w:autoSpaceDE w:val="0"/>
      <w:autoSpaceDN w:val="0"/>
      <w:ind w:firstLine="200" w:firstLineChars="200"/>
      <w:jc w:val="both"/>
    </w:pPr>
    <w:rPr>
      <w:rFonts w:hint="eastAsia" w:ascii="宋体" w:hAnsi="Times New Roman" w:eastAsia="宋体" w:cs="Times New Roman"/>
      <w:kern w:val="0"/>
      <w:sz w:val="21"/>
      <w:szCs w:val="20"/>
      <w:lang w:val="en-US" w:eastAsia="zh-CN" w:bidi="ar-SA"/>
    </w:rPr>
  </w:style>
  <w:style w:type="paragraph" w:customStyle="1" w:styleId="14">
    <w:name w:val="五级条标题"/>
    <w:basedOn w:val="15"/>
    <w:next w:val="13"/>
    <w:qFormat/>
    <w:uiPriority w:val="0"/>
    <w:pPr>
      <w:numPr>
        <w:ilvl w:val="4"/>
      </w:numPr>
      <w:tabs>
        <w:tab w:val="left" w:pos="4320"/>
        <w:tab w:val="left" w:pos="5040"/>
      </w:tabs>
      <w:ind w:left="5040" w:hanging="360"/>
      <w:outlineLvl w:val="6"/>
    </w:pPr>
  </w:style>
  <w:style w:type="paragraph" w:customStyle="1" w:styleId="15">
    <w:name w:val="四级条标题"/>
    <w:basedOn w:val="12"/>
    <w:next w:val="13"/>
    <w:qFormat/>
    <w:uiPriority w:val="0"/>
    <w:pPr>
      <w:numPr>
        <w:ilvl w:val="3"/>
      </w:numPr>
      <w:tabs>
        <w:tab w:val="left" w:pos="4320"/>
        <w:tab w:val="clear" w:pos="1125"/>
        <w:tab w:val="clear" w:pos="3600"/>
      </w:tabs>
      <w:ind w:left="4320" w:hanging="360"/>
      <w:outlineLvl w:val="5"/>
    </w:pPr>
  </w:style>
  <w:style w:type="paragraph" w:customStyle="1" w:styleId="16">
    <w:name w:val="样式 章标题 + Times New Roman 三号 居中 段前: 0.5 行 行距: 多倍行距 3 字行"/>
    <w:basedOn w:val="17"/>
    <w:qFormat/>
    <w:uiPriority w:val="0"/>
    <w:pPr>
      <w:numPr>
        <w:ilvl w:val="5"/>
      </w:numPr>
      <w:spacing w:beforeLines="100" w:afterLines="50"/>
      <w:jc w:val="center"/>
    </w:pPr>
    <w:rPr>
      <w:rFonts w:ascii="Times New Roman"/>
      <w:kern w:val="2"/>
      <w:sz w:val="32"/>
      <w:szCs w:val="32"/>
    </w:rPr>
  </w:style>
  <w:style w:type="paragraph" w:customStyle="1" w:styleId="17">
    <w:name w:val="章标题"/>
    <w:next w:val="13"/>
    <w:qFormat/>
    <w:uiPriority w:val="0"/>
    <w:pPr>
      <w:numPr>
        <w:ilvl w:val="1"/>
        <w:numId w:val="1"/>
      </w:numPr>
      <w:spacing w:beforeLines="50"/>
      <w:jc w:val="both"/>
      <w:outlineLvl w:val="1"/>
    </w:pPr>
    <w:rPr>
      <w:rFonts w:hint="eastAsia" w:ascii="黑体" w:hAnsi="Times New Roman" w:eastAsia="黑体" w:cs="Times New Roman"/>
      <w:kern w:val="0"/>
      <w:sz w:val="21"/>
      <w:szCs w:val="20"/>
      <w:lang w:val="en-US" w:eastAsia="zh-CN" w:bidi="ar-SA"/>
    </w:rPr>
  </w:style>
  <w:style w:type="paragraph" w:styleId="18">
    <w:name w:val="List Paragraph"/>
    <w:basedOn w:val="1"/>
    <w:qFormat/>
    <w:uiPriority w:val="34"/>
    <w:pPr>
      <w:ind w:firstLine="420" w:firstLineChars="200"/>
    </w:pPr>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B2B78-2BF5-4999-9ABC-868FE45F205E}">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2407</Characters>
  <Lines>20</Lines>
  <Paragraphs>5</Paragraphs>
  <TotalTime>162</TotalTime>
  <ScaleCrop>false</ScaleCrop>
  <LinksUpToDate>false</LinksUpToDate>
  <CharactersWithSpaces>2824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2022-10-17T19:19:00Z</dcterms:created>
  <dc:creator>china</dc:creator>
  <cp:lastModifiedBy>。。。</cp:lastModifiedBy>
  <dcterms:modified xsi:type="dcterms:W3CDTF">2023-02-13T04:18:04Z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