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b w:val="0"/>
          <w:bCs/>
          <w:color w:val="000000" w:themeColor="text1"/>
          <w:sz w:val="28"/>
          <w:szCs w:val="28"/>
          <w:highlight w:val="none"/>
          <w:u w:val="none"/>
          <w14:textFill>
            <w14:solidFill>
              <w14:schemeClr w14:val="tx1"/>
            </w14:solidFill>
          </w14:textFill>
        </w:rPr>
      </w:pPr>
      <w:r>
        <w:rPr>
          <w:rFonts w:hint="eastAsia" w:ascii="宋体" w:hAnsi="宋体" w:cs="宋体"/>
          <w:b w:val="0"/>
          <w:bCs/>
          <w:color w:val="000000" w:themeColor="text1"/>
          <w:sz w:val="28"/>
          <w:szCs w:val="28"/>
          <w:highlight w:val="none"/>
          <w:u w:val="none"/>
          <w:lang w:eastAsia="zh-CN"/>
          <w14:textFill>
            <w14:solidFill>
              <w14:schemeClr w14:val="tx1"/>
            </w14:solidFill>
          </w14:textFill>
        </w:rPr>
        <w:t>附件：</w:t>
      </w:r>
    </w:p>
    <w:p>
      <w:pPr>
        <w:keepNext w:val="0"/>
        <w:keepLines w:val="0"/>
        <w:pageBreakBefore w:val="0"/>
        <w:kinsoku/>
        <w:wordWrap/>
        <w:overflowPunct/>
        <w:topLinePunct w:val="0"/>
        <w:autoSpaceDE/>
        <w:autoSpaceDN/>
        <w:bidi w:val="0"/>
        <w:spacing w:line="500" w:lineRule="exact"/>
        <w:jc w:val="both"/>
        <w:textAlignment w:val="auto"/>
        <w:rPr>
          <w:rFonts w:ascii="宋体" w:hAnsi="宋体" w:cs="宋体"/>
          <w:b/>
          <w:color w:val="000000" w:themeColor="text1"/>
          <w:kern w:val="0"/>
          <w:sz w:val="36"/>
          <w:szCs w:val="36"/>
          <w14:textFill>
            <w14:solidFill>
              <w14:schemeClr w14:val="tx1"/>
            </w14:solidFill>
          </w14:textFill>
        </w:rPr>
      </w:pPr>
    </w:p>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中国化工</w:t>
      </w:r>
      <w:r>
        <w:rPr>
          <w:rFonts w:hint="eastAsia" w:ascii="宋体" w:hAnsi="宋体" w:cs="宋体"/>
          <w:b/>
          <w:color w:val="000000" w:themeColor="text1"/>
          <w:kern w:val="0"/>
          <w:sz w:val="36"/>
          <w:szCs w:val="36"/>
          <w:lang w:eastAsia="zh-CN"/>
          <w14:textFill>
            <w14:solidFill>
              <w14:schemeClr w14:val="tx1"/>
            </w14:solidFill>
          </w14:textFill>
        </w:rPr>
        <w:t>建设</w:t>
      </w:r>
      <w:r>
        <w:rPr>
          <w:rFonts w:hint="eastAsia" w:ascii="宋体" w:hAnsi="宋体" w:cs="宋体"/>
          <w:b/>
          <w:color w:val="000000" w:themeColor="text1"/>
          <w:kern w:val="0"/>
          <w:sz w:val="36"/>
          <w:szCs w:val="36"/>
          <w14:textFill>
            <w14:solidFill>
              <w14:schemeClr w14:val="tx1"/>
            </w14:solidFill>
          </w14:textFill>
        </w:rPr>
        <w:t>企业协会</w:t>
      </w:r>
    </w:p>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lang w:eastAsia="zh-CN"/>
          <w14:textFill>
            <w14:solidFill>
              <w14:schemeClr w14:val="tx1"/>
            </w14:solidFill>
          </w14:textFill>
        </w:rPr>
        <w:t>优秀科技</w:t>
      </w:r>
      <w:r>
        <w:rPr>
          <w:rFonts w:hint="eastAsia" w:ascii="宋体" w:hAnsi="宋体" w:cs="宋体"/>
          <w:b/>
          <w:color w:val="000000" w:themeColor="text1"/>
          <w:kern w:val="0"/>
          <w:sz w:val="36"/>
          <w:szCs w:val="36"/>
          <w14:textFill>
            <w14:solidFill>
              <w14:schemeClr w14:val="tx1"/>
            </w14:solidFill>
          </w14:textFill>
        </w:rPr>
        <w:t>论文</w:t>
      </w:r>
      <w:r>
        <w:rPr>
          <w:rFonts w:hint="eastAsia" w:ascii="宋体" w:hAnsi="宋体" w:cs="宋体"/>
          <w:b/>
          <w:color w:val="000000" w:themeColor="text1"/>
          <w:kern w:val="0"/>
          <w:sz w:val="36"/>
          <w:szCs w:val="36"/>
          <w:lang w:eastAsia="zh-CN"/>
          <w14:textFill>
            <w14:solidFill>
              <w14:schemeClr w14:val="tx1"/>
            </w14:solidFill>
          </w14:textFill>
        </w:rPr>
        <w:t>征集评选</w:t>
      </w:r>
      <w:r>
        <w:rPr>
          <w:rFonts w:hint="eastAsia" w:ascii="宋体" w:hAnsi="宋体" w:cs="宋体"/>
          <w:b/>
          <w:color w:val="000000" w:themeColor="text1"/>
          <w:kern w:val="0"/>
          <w:sz w:val="36"/>
          <w:szCs w:val="36"/>
          <w14:textFill>
            <w14:solidFill>
              <w14:schemeClr w14:val="tx1"/>
            </w14:solidFill>
          </w14:textFill>
        </w:rPr>
        <w:t>管理办法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cs="宋体"/>
          <w:b/>
          <w:color w:val="000000" w:themeColor="text1"/>
          <w:kern w:val="0"/>
          <w:sz w:val="36"/>
          <w:szCs w:val="36"/>
          <w14:textFill>
            <w14:solidFill>
              <w14:schemeClr w14:val="tx1"/>
            </w14:solidFill>
          </w14:textFill>
        </w:rPr>
      </w:pPr>
      <w:r>
        <w:rPr>
          <w:rFonts w:hint="eastAsia" w:ascii="宋体" w:hAnsi="宋体" w:cs="宋体"/>
          <w:b w:val="0"/>
          <w:bCs/>
          <w:color w:val="000000" w:themeColor="text1"/>
          <w:sz w:val="28"/>
          <w:szCs w:val="28"/>
          <w:highlight w:val="none"/>
          <w:u w:val="none"/>
          <w:lang w:eastAsia="zh-CN"/>
          <w14:textFill>
            <w14:solidFill>
              <w14:schemeClr w14:val="tx1"/>
            </w14:solidFill>
          </w14:textFill>
        </w:rPr>
        <w:t>（</w:t>
      </w:r>
      <w:r>
        <w:rPr>
          <w:rFonts w:hint="eastAsia" w:ascii="宋体" w:hAnsi="宋体" w:eastAsia="宋体" w:cs="宋体"/>
          <w:b w:val="0"/>
          <w:bCs/>
          <w:color w:val="000000" w:themeColor="text1"/>
          <w:sz w:val="28"/>
          <w:szCs w:val="28"/>
          <w:highlight w:val="none"/>
          <w:u w:val="none"/>
          <w14:textFill>
            <w14:solidFill>
              <w14:schemeClr w14:val="tx1"/>
            </w14:solidFill>
          </w14:textFill>
        </w:rPr>
        <w:t>20</w:t>
      </w:r>
      <w:r>
        <w:rPr>
          <w:rFonts w:hint="eastAsia" w:ascii="宋体" w:hAnsi="宋体" w:eastAsia="宋体" w:cs="宋体"/>
          <w:b w:val="0"/>
          <w:bCs/>
          <w:color w:val="000000" w:themeColor="text1"/>
          <w:sz w:val="28"/>
          <w:szCs w:val="28"/>
          <w:highlight w:val="none"/>
          <w:u w:val="none"/>
          <w:lang w:val="en-US" w:eastAsia="zh-CN"/>
          <w14:textFill>
            <w14:solidFill>
              <w14:schemeClr w14:val="tx1"/>
            </w14:solidFill>
          </w14:textFill>
        </w:rPr>
        <w:t>21</w:t>
      </w:r>
      <w:r>
        <w:rPr>
          <w:rFonts w:hint="eastAsia" w:ascii="宋体" w:hAnsi="宋体" w:eastAsia="宋体" w:cs="宋体"/>
          <w:b w:val="0"/>
          <w:bCs/>
          <w:color w:val="000000" w:themeColor="text1"/>
          <w:sz w:val="28"/>
          <w:szCs w:val="28"/>
          <w:highlight w:val="none"/>
          <w:u w:val="none"/>
          <w14:textFill>
            <w14:solidFill>
              <w14:schemeClr w14:val="tx1"/>
            </w14:solidFill>
          </w14:textFill>
        </w:rPr>
        <w:t>年</w:t>
      </w:r>
      <w:r>
        <w:rPr>
          <w:rFonts w:hint="eastAsia" w:ascii="宋体" w:hAnsi="宋体" w:eastAsia="宋体" w:cs="宋体"/>
          <w:b w:val="0"/>
          <w:bCs/>
          <w:color w:val="000000" w:themeColor="text1"/>
          <w:sz w:val="28"/>
          <w:szCs w:val="28"/>
          <w:highlight w:val="none"/>
          <w:u w:val="none"/>
          <w:lang w:val="en-US" w:eastAsia="zh-CN"/>
          <w14:textFill>
            <w14:solidFill>
              <w14:schemeClr w14:val="tx1"/>
            </w14:solidFill>
          </w14:textFill>
        </w:rPr>
        <w:t>4</w:t>
      </w:r>
      <w:r>
        <w:rPr>
          <w:rFonts w:hint="eastAsia" w:ascii="宋体" w:hAnsi="宋体" w:eastAsia="宋体" w:cs="宋体"/>
          <w:b w:val="0"/>
          <w:bCs/>
          <w:color w:val="000000" w:themeColor="text1"/>
          <w:sz w:val="28"/>
          <w:szCs w:val="28"/>
          <w:highlight w:val="none"/>
          <w:u w:val="none"/>
          <w14:textFill>
            <w14:solidFill>
              <w14:schemeClr w14:val="tx1"/>
            </w14:solidFill>
          </w14:textFill>
        </w:rPr>
        <w:t>月</w:t>
      </w:r>
      <w:r>
        <w:rPr>
          <w:rFonts w:hint="eastAsia" w:ascii="宋体" w:hAnsi="宋体" w:eastAsia="宋体" w:cs="宋体"/>
          <w:b w:val="0"/>
          <w:bCs/>
          <w:color w:val="000000" w:themeColor="text1"/>
          <w:sz w:val="28"/>
          <w:szCs w:val="28"/>
          <w:highlight w:val="none"/>
          <w:u w:val="none"/>
          <w:lang w:val="en-US" w:eastAsia="zh-CN"/>
          <w14:textFill>
            <w14:solidFill>
              <w14:schemeClr w14:val="tx1"/>
            </w14:solidFill>
          </w14:textFill>
        </w:rPr>
        <w:t>6</w:t>
      </w:r>
      <w:r>
        <w:rPr>
          <w:rFonts w:hint="eastAsia" w:ascii="宋体" w:hAnsi="宋体" w:eastAsia="宋体" w:cs="宋体"/>
          <w:b w:val="0"/>
          <w:bCs/>
          <w:color w:val="000000" w:themeColor="text1"/>
          <w:sz w:val="28"/>
          <w:szCs w:val="28"/>
          <w:highlight w:val="none"/>
          <w:u w:val="none"/>
          <w14:textFill>
            <w14:solidFill>
              <w14:schemeClr w14:val="tx1"/>
            </w14:solidFill>
          </w14:textFill>
        </w:rPr>
        <w:t>日</w:t>
      </w:r>
      <w:r>
        <w:rPr>
          <w:rFonts w:hint="eastAsia" w:ascii="宋体" w:hAnsi="宋体" w:cs="宋体"/>
          <w:b w:val="0"/>
          <w:bCs/>
          <w:color w:val="000000" w:themeColor="text1"/>
          <w:sz w:val="28"/>
          <w:szCs w:val="28"/>
          <w:highlight w:val="none"/>
          <w:u w:val="none"/>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500" w:lineRule="exact"/>
        <w:jc w:val="center"/>
        <w:textAlignment w:val="auto"/>
        <w:rPr>
          <w:rFonts w:ascii="宋体" w:hAnsi="宋体" w:cs="宋体"/>
          <w:b/>
          <w:color w:val="000000" w:themeColor="text1"/>
          <w:kern w:val="0"/>
          <w:sz w:val="36"/>
          <w:szCs w:val="36"/>
          <w14:textFill>
            <w14:solidFill>
              <w14:schemeClr w14:val="tx1"/>
            </w14:solidFill>
          </w14:textFill>
        </w:rPr>
      </w:pPr>
    </w:p>
    <w:p>
      <w:pPr>
        <w:keepNext w:val="0"/>
        <w:keepLines w:val="0"/>
        <w:pageBreakBefore w:val="0"/>
        <w:numPr>
          <w:ilvl w:val="0"/>
          <w:numId w:val="1"/>
        </w:numPr>
        <w:kinsoku/>
        <w:wordWrap/>
        <w:overflowPunct/>
        <w:topLinePunct w:val="0"/>
        <w:autoSpaceDE/>
        <w:autoSpaceDN/>
        <w:bidi w:val="0"/>
        <w:spacing w:line="500" w:lineRule="exact"/>
        <w:jc w:val="center"/>
        <w:textAlignment w:val="auto"/>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总则</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为提高化工建设行业工程技术人员开展技术研究的积极性，促进技术创新成果的传播与应用，推动行业技术进步，提升行业整体科学技术水平，中国化工施工企业协会开展优秀科技论文的</w:t>
      </w:r>
      <w:r>
        <w:rPr>
          <w:rFonts w:hint="eastAsia" w:ascii="宋体" w:hAnsi="宋体" w:cs="宋体"/>
          <w:bCs/>
          <w:color w:val="000000" w:themeColor="text1"/>
          <w:kern w:val="0"/>
          <w:sz w:val="28"/>
          <w:szCs w:val="28"/>
          <w:lang w:eastAsia="zh-CN"/>
          <w14:textFill>
            <w14:solidFill>
              <w14:schemeClr w14:val="tx1"/>
            </w14:solidFill>
          </w14:textFill>
        </w:rPr>
        <w:t>征集评选</w:t>
      </w:r>
      <w:r>
        <w:rPr>
          <w:rFonts w:hint="eastAsia" w:ascii="宋体" w:hAnsi="宋体" w:cs="宋体"/>
          <w:bCs/>
          <w:color w:val="000000" w:themeColor="text1"/>
          <w:kern w:val="0"/>
          <w:sz w:val="28"/>
          <w:szCs w:val="28"/>
          <w14:textFill>
            <w14:solidFill>
              <w14:schemeClr w14:val="tx1"/>
            </w14:solidFill>
          </w14:textFill>
        </w:rPr>
        <w:t>活动，特制定本办法。</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本办法适用于行业所属各会员单位施工、科研等方面论文的撰写、申报</w:t>
      </w:r>
      <w:r>
        <w:rPr>
          <w:rFonts w:hint="eastAsia" w:ascii="宋体" w:hAnsi="宋体" w:cs="宋体"/>
          <w:bCs/>
          <w:color w:val="000000" w:themeColor="text1"/>
          <w:kern w:val="0"/>
          <w:sz w:val="28"/>
          <w:szCs w:val="28"/>
          <w:lang w:eastAsia="zh-CN"/>
          <w14:textFill>
            <w14:solidFill>
              <w14:schemeClr w14:val="tx1"/>
            </w14:solidFill>
          </w14:textFill>
        </w:rPr>
        <w:t>和</w:t>
      </w:r>
      <w:r>
        <w:rPr>
          <w:rFonts w:hint="eastAsia" w:ascii="宋体" w:hAnsi="宋体" w:cs="宋体"/>
          <w:bCs/>
          <w:color w:val="000000" w:themeColor="text1"/>
          <w:kern w:val="0"/>
          <w:sz w:val="28"/>
          <w:szCs w:val="28"/>
          <w14:textFill>
            <w14:solidFill>
              <w14:schemeClr w14:val="tx1"/>
            </w14:solidFill>
          </w14:textFill>
        </w:rPr>
        <w:t>评</w:t>
      </w:r>
      <w:r>
        <w:rPr>
          <w:rFonts w:hint="eastAsia" w:ascii="宋体" w:hAnsi="宋体" w:cs="宋体"/>
          <w:bCs/>
          <w:color w:val="000000" w:themeColor="text1"/>
          <w:kern w:val="0"/>
          <w:sz w:val="28"/>
          <w:szCs w:val="28"/>
          <w:lang w:eastAsia="zh-CN"/>
          <w14:textFill>
            <w14:solidFill>
              <w14:schemeClr w14:val="tx1"/>
            </w14:solidFill>
          </w14:textFill>
        </w:rPr>
        <w:t>选</w:t>
      </w:r>
      <w:r>
        <w:rPr>
          <w:rFonts w:hint="eastAsia" w:ascii="宋体" w:hAnsi="宋体" w:cs="宋体"/>
          <w:bCs/>
          <w:color w:val="000000" w:themeColor="text1"/>
          <w:kern w:val="0"/>
          <w:sz w:val="28"/>
          <w:szCs w:val="28"/>
          <w14:textFill>
            <w14:solidFill>
              <w14:schemeClr w14:val="tx1"/>
            </w14:solidFill>
          </w14:textFill>
        </w:rPr>
        <w:t>。</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优秀科技论文每年</w:t>
      </w:r>
      <w:r>
        <w:rPr>
          <w:rFonts w:hint="eastAsia" w:ascii="宋体" w:hAnsi="宋体" w:cs="宋体"/>
          <w:bCs/>
          <w:color w:val="000000" w:themeColor="text1"/>
          <w:kern w:val="0"/>
          <w:sz w:val="28"/>
          <w:szCs w:val="28"/>
          <w:lang w:eastAsia="zh-CN"/>
          <w14:textFill>
            <w14:solidFill>
              <w14:schemeClr w14:val="tx1"/>
            </w14:solidFill>
          </w14:textFill>
        </w:rPr>
        <w:t>征集</w:t>
      </w:r>
      <w:r>
        <w:rPr>
          <w:rFonts w:hint="eastAsia" w:ascii="宋体" w:hAnsi="宋体" w:cs="宋体"/>
          <w:bCs/>
          <w:color w:val="000000" w:themeColor="text1"/>
          <w:kern w:val="0"/>
          <w:sz w:val="28"/>
          <w:szCs w:val="28"/>
          <w14:textFill>
            <w14:solidFill>
              <w14:schemeClr w14:val="tx1"/>
            </w14:solidFill>
          </w14:textFill>
        </w:rPr>
        <w:t>评选一次。</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中国化工</w:t>
      </w:r>
      <w:r>
        <w:rPr>
          <w:rFonts w:hint="eastAsia" w:ascii="宋体" w:hAnsi="宋体" w:cs="宋体"/>
          <w:bCs/>
          <w:color w:val="000000" w:themeColor="text1"/>
          <w:kern w:val="0"/>
          <w:sz w:val="28"/>
          <w:szCs w:val="28"/>
          <w:lang w:eastAsia="zh-CN"/>
          <w14:textFill>
            <w14:solidFill>
              <w14:schemeClr w14:val="tx1"/>
            </w14:solidFill>
          </w14:textFill>
        </w:rPr>
        <w:t>建设</w:t>
      </w:r>
      <w:r>
        <w:rPr>
          <w:rFonts w:hint="eastAsia" w:ascii="宋体" w:hAnsi="宋体" w:cs="宋体"/>
          <w:bCs/>
          <w:color w:val="000000" w:themeColor="text1"/>
          <w:kern w:val="0"/>
          <w:sz w:val="28"/>
          <w:szCs w:val="28"/>
          <w14:textFill>
            <w14:solidFill>
              <w14:schemeClr w14:val="tx1"/>
            </w14:solidFill>
          </w14:textFill>
        </w:rPr>
        <w:t>企业协会秘书处负责优秀科技论文</w:t>
      </w:r>
      <w:r>
        <w:rPr>
          <w:rFonts w:hint="eastAsia" w:ascii="宋体" w:hAnsi="宋体" w:cs="宋体"/>
          <w:bCs/>
          <w:color w:val="000000" w:themeColor="text1"/>
          <w:kern w:val="0"/>
          <w:sz w:val="28"/>
          <w:szCs w:val="28"/>
          <w:lang w:eastAsia="zh-CN"/>
          <w14:textFill>
            <w14:solidFill>
              <w14:schemeClr w14:val="tx1"/>
            </w14:solidFill>
          </w14:textFill>
        </w:rPr>
        <w:t>征集</w:t>
      </w:r>
      <w:r>
        <w:rPr>
          <w:rFonts w:hint="eastAsia" w:ascii="宋体" w:hAnsi="宋体" w:cs="宋体"/>
          <w:bCs/>
          <w:color w:val="000000" w:themeColor="text1"/>
          <w:kern w:val="0"/>
          <w:sz w:val="28"/>
          <w:szCs w:val="28"/>
          <w14:textFill>
            <w14:solidFill>
              <w14:schemeClr w14:val="tx1"/>
            </w14:solidFill>
          </w14:textFill>
        </w:rPr>
        <w:t>评选的日常管理工作。</w:t>
      </w:r>
    </w:p>
    <w:p>
      <w:pPr>
        <w:keepNext w:val="0"/>
        <w:keepLines w:val="0"/>
        <w:pageBreakBefore w:val="0"/>
        <w:numPr>
          <w:ilvl w:val="0"/>
          <w:numId w:val="1"/>
        </w:numPr>
        <w:kinsoku/>
        <w:wordWrap/>
        <w:overflowPunct/>
        <w:topLinePunct w:val="0"/>
        <w:autoSpaceDE/>
        <w:autoSpaceDN/>
        <w:bidi w:val="0"/>
        <w:spacing w:line="500" w:lineRule="exact"/>
        <w:jc w:val="center"/>
        <w:textAlignment w:val="auto"/>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论文要求</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论文应理论联系实际，紧扣行业科技发展领域的前沿技术，具有一定的创新性、理论性和前瞻性。理论上有独到见解，技术上有新观点，应用上有新体会，指明技术发展方向，对解决重大关键技术问题或对促进行业科技进步具有一定的指导意义。</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论文要求文题相符，观点明确，资料详实，数据准确，论点清晰，论据充分，论证有力，结论正确。</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论文写法必须符合论文</w:t>
      </w:r>
      <w:r>
        <w:rPr>
          <w:rFonts w:hint="eastAsia" w:ascii="宋体" w:hAnsi="宋体" w:cs="宋体"/>
          <w:bCs/>
          <w:color w:val="000000" w:themeColor="text1"/>
          <w:kern w:val="0"/>
          <w:sz w:val="28"/>
          <w:szCs w:val="28"/>
          <w:lang w:eastAsia="zh-CN"/>
          <w14:textFill>
            <w14:solidFill>
              <w14:schemeClr w14:val="tx1"/>
            </w14:solidFill>
          </w14:textFill>
        </w:rPr>
        <w:t>编写</w:t>
      </w:r>
      <w:r>
        <w:rPr>
          <w:rFonts w:hint="eastAsia" w:ascii="宋体" w:hAnsi="宋体" w:cs="宋体"/>
          <w:bCs/>
          <w:color w:val="000000" w:themeColor="text1"/>
          <w:kern w:val="0"/>
          <w:sz w:val="28"/>
          <w:szCs w:val="28"/>
          <w14:textFill>
            <w14:solidFill>
              <w14:schemeClr w14:val="tx1"/>
            </w14:solidFill>
          </w14:textFill>
        </w:rPr>
        <w:t>的要求，文字流畅，条理清楚，结构合理，层次分明，逻辑严密，计量标准，图表清晰，参阅文献详尽，文本格式规范。</w:t>
      </w:r>
    </w:p>
    <w:p>
      <w:pPr>
        <w:keepNext w:val="0"/>
        <w:keepLines w:val="0"/>
        <w:pageBreakBefore w:val="0"/>
        <w:numPr>
          <w:ilvl w:val="0"/>
          <w:numId w:val="1"/>
        </w:numPr>
        <w:kinsoku/>
        <w:wordWrap/>
        <w:overflowPunct/>
        <w:topLinePunct w:val="0"/>
        <w:autoSpaceDE/>
        <w:autoSpaceDN/>
        <w:bidi w:val="0"/>
        <w:spacing w:line="500" w:lineRule="exact"/>
        <w:jc w:val="center"/>
        <w:textAlignment w:val="auto"/>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评选标准</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优秀论文的评选，按照总体技术水平、指导作用、应用价值、经济效益和社会效益，以及撰写质量水平等方面综合评价。</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lang w:eastAsia="zh-CN"/>
          <w14:textFill>
            <w14:solidFill>
              <w14:schemeClr w14:val="tx1"/>
            </w14:solidFill>
          </w14:textFill>
        </w:rPr>
        <w:t>优秀论文评选设</w:t>
      </w:r>
      <w:r>
        <w:rPr>
          <w:rFonts w:hint="eastAsia" w:ascii="宋体" w:hAnsi="宋体" w:cs="宋体"/>
          <w:bCs/>
          <w:color w:val="000000" w:themeColor="text1"/>
          <w:kern w:val="0"/>
          <w:sz w:val="28"/>
          <w:szCs w:val="28"/>
          <w14:textFill>
            <w14:solidFill>
              <w14:schemeClr w14:val="tx1"/>
            </w14:solidFill>
          </w14:textFill>
        </w:rPr>
        <w:t>一等、二等、</w:t>
      </w:r>
      <w:r>
        <w:rPr>
          <w:rFonts w:hint="eastAsia" w:ascii="宋体" w:hAnsi="宋体" w:cs="宋体"/>
          <w:bCs/>
          <w:color w:val="000000" w:themeColor="text1"/>
          <w:kern w:val="0"/>
          <w:sz w:val="28"/>
          <w:szCs w:val="28"/>
          <w:lang w:eastAsia="zh-CN"/>
          <w14:textFill>
            <w14:solidFill>
              <w14:schemeClr w14:val="tx1"/>
            </w14:solidFill>
          </w14:textFill>
        </w:rPr>
        <w:t>三等</w:t>
      </w:r>
      <w:r>
        <w:rPr>
          <w:rFonts w:hint="eastAsia" w:ascii="宋体" w:hAnsi="宋体" w:cs="宋体"/>
          <w:bCs/>
          <w:color w:val="000000" w:themeColor="text1"/>
          <w:kern w:val="0"/>
          <w:sz w:val="28"/>
          <w:szCs w:val="28"/>
          <w14:textFill>
            <w14:solidFill>
              <w14:schemeClr w14:val="tx1"/>
            </w14:solidFill>
          </w14:textFill>
        </w:rPr>
        <w:t>3个等级。</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优秀科技论文评选实行总量控制原则：一等不超过3个，二等不超过</w:t>
      </w:r>
      <w:r>
        <w:rPr>
          <w:rFonts w:hint="eastAsia" w:ascii="宋体" w:hAnsi="宋体" w:cs="宋体"/>
          <w:bCs/>
          <w:color w:val="000000" w:themeColor="text1"/>
          <w:kern w:val="0"/>
          <w:sz w:val="28"/>
          <w:szCs w:val="28"/>
          <w:lang w:eastAsia="zh-CN"/>
          <w14:textFill>
            <w14:solidFill>
              <w14:schemeClr w14:val="tx1"/>
            </w14:solidFill>
          </w14:textFill>
        </w:rPr>
        <w:t>总量的</w:t>
      </w:r>
      <w:r>
        <w:rPr>
          <w:rFonts w:hint="eastAsia" w:ascii="宋体" w:hAnsi="宋体" w:cs="宋体"/>
          <w:bCs/>
          <w:color w:val="000000" w:themeColor="text1"/>
          <w:kern w:val="0"/>
          <w:sz w:val="28"/>
          <w:szCs w:val="28"/>
          <w14:textFill>
            <w14:solidFill>
              <w14:schemeClr w14:val="tx1"/>
            </w14:solidFill>
          </w14:textFill>
        </w:rPr>
        <w:t>15%。</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评选标准：</w:t>
      </w:r>
    </w:p>
    <w:p>
      <w:pPr>
        <w:keepNext w:val="0"/>
        <w:keepLines w:val="0"/>
        <w:pageBreakBefore w:val="0"/>
        <w:kinsoku/>
        <w:wordWrap/>
        <w:overflowPunct/>
        <w:topLinePunct w:val="0"/>
        <w:autoSpaceDE/>
        <w:autoSpaceDN/>
        <w:bidi w:val="0"/>
        <w:spacing w:line="500" w:lineRule="exact"/>
        <w:ind w:firstLine="560" w:firstLineChars="200"/>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一等</w:t>
      </w:r>
      <w:r>
        <w:rPr>
          <w:rFonts w:hint="eastAsia" w:ascii="宋体" w:hAnsi="宋体" w:cs="宋体"/>
          <w:bCs/>
          <w:color w:val="000000" w:themeColor="text1"/>
          <w:kern w:val="0"/>
          <w:sz w:val="28"/>
          <w:szCs w:val="28"/>
          <w:lang w:eastAsia="zh-CN"/>
          <w14:textFill>
            <w14:solidFill>
              <w14:schemeClr w14:val="tx1"/>
            </w14:solidFill>
          </w14:textFill>
        </w:rPr>
        <w:t>优秀论文</w:t>
      </w:r>
      <w:r>
        <w:rPr>
          <w:rFonts w:hint="eastAsia" w:ascii="宋体" w:hAnsi="宋体" w:cs="宋体"/>
          <w:bCs/>
          <w:color w:val="000000" w:themeColor="text1"/>
          <w:kern w:val="0"/>
          <w:sz w:val="28"/>
          <w:szCs w:val="28"/>
          <w14:textFill>
            <w14:solidFill>
              <w14:schemeClr w14:val="tx1"/>
            </w14:solidFill>
          </w14:textFill>
        </w:rPr>
        <w:t>：具有独到的见解、前瞻性和创新观点，总体技术水平达到国际先进及以上，对本行业技术进步有巨大的促进和指导作用；开发前景和应用价值很大；社会效益和经济效益显著；撰写质量水平高。</w:t>
      </w:r>
    </w:p>
    <w:p>
      <w:pPr>
        <w:keepNext w:val="0"/>
        <w:keepLines w:val="0"/>
        <w:pageBreakBefore w:val="0"/>
        <w:kinsoku/>
        <w:wordWrap/>
        <w:overflowPunct/>
        <w:topLinePunct w:val="0"/>
        <w:autoSpaceDE/>
        <w:autoSpaceDN/>
        <w:bidi w:val="0"/>
        <w:spacing w:line="500" w:lineRule="exact"/>
        <w:ind w:firstLine="560" w:firstLineChars="200"/>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二等</w:t>
      </w:r>
      <w:r>
        <w:rPr>
          <w:rFonts w:hint="eastAsia" w:ascii="宋体" w:hAnsi="宋体" w:cs="宋体"/>
          <w:bCs/>
          <w:color w:val="000000" w:themeColor="text1"/>
          <w:kern w:val="0"/>
          <w:sz w:val="28"/>
          <w:szCs w:val="28"/>
          <w:lang w:eastAsia="zh-CN"/>
          <w14:textFill>
            <w14:solidFill>
              <w14:schemeClr w14:val="tx1"/>
            </w14:solidFill>
          </w14:textFill>
        </w:rPr>
        <w:t>优秀论文</w:t>
      </w:r>
      <w:r>
        <w:rPr>
          <w:rFonts w:hint="eastAsia" w:ascii="宋体" w:hAnsi="宋体" w:cs="宋体"/>
          <w:bCs/>
          <w:color w:val="000000" w:themeColor="text1"/>
          <w:kern w:val="0"/>
          <w:sz w:val="28"/>
          <w:szCs w:val="28"/>
          <w14:textFill>
            <w14:solidFill>
              <w14:schemeClr w14:val="tx1"/>
            </w14:solidFill>
          </w14:textFill>
        </w:rPr>
        <w:t>：具有一定的创新性或解决了工程实际中重大的技术难题，总体技术水平达到国内先进及以上，对本行业技术进步有较强的促进和指导作用；具有较好的开发前景和应用价值；有较好的社会效益和经济效益；撰写质量水平较高。</w:t>
      </w:r>
    </w:p>
    <w:p>
      <w:pPr>
        <w:keepNext w:val="0"/>
        <w:keepLines w:val="0"/>
        <w:pageBreakBefore w:val="0"/>
        <w:kinsoku/>
        <w:wordWrap/>
        <w:overflowPunct/>
        <w:topLinePunct w:val="0"/>
        <w:autoSpaceDE/>
        <w:autoSpaceDN/>
        <w:bidi w:val="0"/>
        <w:spacing w:line="500" w:lineRule="exact"/>
        <w:ind w:firstLine="560" w:firstLineChars="200"/>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lang w:eastAsia="zh-CN"/>
          <w14:textFill>
            <w14:solidFill>
              <w14:schemeClr w14:val="tx1"/>
            </w14:solidFill>
          </w14:textFill>
        </w:rPr>
        <w:t>三等</w:t>
      </w:r>
      <w:r>
        <w:rPr>
          <w:rFonts w:hint="eastAsia" w:ascii="宋体" w:hAnsi="宋体" w:cs="宋体"/>
          <w:bCs/>
          <w:color w:val="000000" w:themeColor="text1"/>
          <w:kern w:val="0"/>
          <w:sz w:val="28"/>
          <w:szCs w:val="28"/>
          <w14:textFill>
            <w14:solidFill>
              <w14:schemeClr w14:val="tx1"/>
            </w14:solidFill>
          </w14:textFill>
        </w:rPr>
        <w:t>优秀</w:t>
      </w:r>
      <w:r>
        <w:rPr>
          <w:rFonts w:hint="eastAsia" w:ascii="宋体" w:hAnsi="宋体" w:cs="宋体"/>
          <w:bCs/>
          <w:color w:val="000000" w:themeColor="text1"/>
          <w:kern w:val="0"/>
          <w:sz w:val="28"/>
          <w:szCs w:val="28"/>
          <w:lang w:eastAsia="zh-CN"/>
          <w14:textFill>
            <w14:solidFill>
              <w14:schemeClr w14:val="tx1"/>
            </w14:solidFill>
          </w14:textFill>
        </w:rPr>
        <w:t>论文</w:t>
      </w:r>
      <w:r>
        <w:rPr>
          <w:rFonts w:hint="eastAsia" w:ascii="宋体" w:hAnsi="宋体" w:cs="宋体"/>
          <w:bCs/>
          <w:color w:val="000000" w:themeColor="text1"/>
          <w:kern w:val="0"/>
          <w:sz w:val="28"/>
          <w:szCs w:val="28"/>
          <w14:textFill>
            <w14:solidFill>
              <w14:schemeClr w14:val="tx1"/>
            </w14:solidFill>
          </w14:textFill>
        </w:rPr>
        <w:t>：能提出一定的见解或建议，解决施工生产中较大的技术难题，总体技术水平达到行业先进及以上，对本行业技术进步</w:t>
      </w:r>
      <w:r>
        <w:rPr>
          <w:rFonts w:hint="eastAsia" w:ascii="宋体" w:hAnsi="宋体" w:cs="宋体"/>
          <w:bCs/>
          <w:color w:val="000000" w:themeColor="text1"/>
          <w:kern w:val="0"/>
          <w:sz w:val="28"/>
          <w:szCs w:val="28"/>
          <w:lang w:eastAsia="zh-CN"/>
          <w14:textFill>
            <w14:solidFill>
              <w14:schemeClr w14:val="tx1"/>
            </w14:solidFill>
          </w14:textFill>
        </w:rPr>
        <w:t>有</w:t>
      </w:r>
      <w:r>
        <w:rPr>
          <w:rFonts w:hint="eastAsia" w:ascii="宋体" w:hAnsi="宋体" w:cs="宋体"/>
          <w:bCs/>
          <w:color w:val="000000" w:themeColor="text1"/>
          <w:kern w:val="0"/>
          <w:sz w:val="28"/>
          <w:szCs w:val="28"/>
          <w14:textFill>
            <w14:solidFill>
              <w14:schemeClr w14:val="tx1"/>
            </w14:solidFill>
          </w14:textFill>
        </w:rPr>
        <w:t>一定的促进和指导作用；具有一定的开发前景和应用价值；有一定的社会效益和经济效益；撰写质量水平符合要求。</w:t>
      </w:r>
    </w:p>
    <w:p>
      <w:pPr>
        <w:keepNext w:val="0"/>
        <w:keepLines w:val="0"/>
        <w:pageBreakBefore w:val="0"/>
        <w:numPr>
          <w:ilvl w:val="0"/>
          <w:numId w:val="1"/>
        </w:numPr>
        <w:kinsoku/>
        <w:wordWrap/>
        <w:overflowPunct/>
        <w:topLinePunct w:val="0"/>
        <w:autoSpaceDE/>
        <w:autoSpaceDN/>
        <w:bidi w:val="0"/>
        <w:spacing w:line="500" w:lineRule="exact"/>
        <w:jc w:val="center"/>
        <w:textAlignment w:val="auto"/>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申报程序</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优秀科技论文</w:t>
      </w:r>
      <w:r>
        <w:rPr>
          <w:rFonts w:hint="eastAsia" w:ascii="宋体" w:hAnsi="宋体" w:cs="宋体"/>
          <w:bCs/>
          <w:color w:val="000000" w:themeColor="text1"/>
          <w:kern w:val="0"/>
          <w:sz w:val="28"/>
          <w:szCs w:val="28"/>
          <w:lang w:eastAsia="zh-CN"/>
          <w14:textFill>
            <w14:solidFill>
              <w14:schemeClr w14:val="tx1"/>
            </w14:solidFill>
          </w14:textFill>
        </w:rPr>
        <w:t>征集</w:t>
      </w:r>
      <w:r>
        <w:rPr>
          <w:rFonts w:hint="eastAsia" w:ascii="宋体" w:hAnsi="宋体" w:cs="宋体"/>
          <w:bCs/>
          <w:color w:val="000000" w:themeColor="text1"/>
          <w:kern w:val="0"/>
          <w:sz w:val="28"/>
          <w:szCs w:val="28"/>
          <w14:textFill>
            <w14:solidFill>
              <w14:schemeClr w14:val="tx1"/>
            </w14:solidFill>
          </w14:textFill>
        </w:rPr>
        <w:t>评选</w:t>
      </w:r>
      <w:r>
        <w:rPr>
          <w:rFonts w:hint="eastAsia" w:ascii="宋体" w:hAnsi="宋体" w:cs="宋体"/>
          <w:bCs/>
          <w:color w:val="000000" w:themeColor="text1"/>
          <w:sz w:val="28"/>
          <w:szCs w:val="28"/>
          <w14:textFill>
            <w14:solidFill>
              <w14:schemeClr w14:val="tx1"/>
            </w14:solidFill>
          </w14:textFill>
        </w:rPr>
        <w:t>坚持“协会组织，自愿申报，专家评审”的原则。</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论文申报应填写统一格式的《中国化工</w:t>
      </w:r>
      <w:r>
        <w:rPr>
          <w:rFonts w:hint="eastAsia" w:ascii="宋体" w:hAnsi="宋体" w:cs="宋体"/>
          <w:bCs/>
          <w:color w:val="000000" w:themeColor="text1"/>
          <w:sz w:val="28"/>
          <w:szCs w:val="28"/>
          <w:lang w:eastAsia="zh-CN"/>
          <w14:textFill>
            <w14:solidFill>
              <w14:schemeClr w14:val="tx1"/>
            </w14:solidFill>
          </w14:textFill>
        </w:rPr>
        <w:t>建设</w:t>
      </w:r>
      <w:r>
        <w:rPr>
          <w:rFonts w:hint="eastAsia" w:ascii="宋体" w:hAnsi="宋体" w:cs="宋体"/>
          <w:bCs/>
          <w:color w:val="000000" w:themeColor="text1"/>
          <w:sz w:val="28"/>
          <w:szCs w:val="28"/>
          <w14:textFill>
            <w14:solidFill>
              <w14:schemeClr w14:val="tx1"/>
            </w14:solidFill>
          </w14:textFill>
        </w:rPr>
        <w:t>企业协会优秀科技论文申报书》，并附论文（文本格式打印，同时提供电子版）。</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论文字数要求在3000～6000字以内。论文可由一人撰写，也可以几人合著，但不超过3人。</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lang w:eastAsia="zh-CN"/>
          <w14:textFill>
            <w14:solidFill>
              <w14:schemeClr w14:val="tx1"/>
            </w14:solidFill>
          </w14:textFill>
        </w:rPr>
        <w:t>提交论文查重报告证明。</w:t>
      </w:r>
    </w:p>
    <w:p>
      <w:pPr>
        <w:keepNext w:val="0"/>
        <w:keepLines w:val="0"/>
        <w:pageBreakBefore w:val="0"/>
        <w:numPr>
          <w:ilvl w:val="0"/>
          <w:numId w:val="1"/>
        </w:numPr>
        <w:kinsoku/>
        <w:wordWrap/>
        <w:overflowPunct/>
        <w:topLinePunct w:val="0"/>
        <w:autoSpaceDE/>
        <w:autoSpaceDN/>
        <w:bidi w:val="0"/>
        <w:spacing w:line="500" w:lineRule="exact"/>
        <w:jc w:val="center"/>
        <w:textAlignment w:val="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评审程序</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形式审查。</w:t>
      </w:r>
      <w:r>
        <w:rPr>
          <w:rFonts w:hint="eastAsia" w:ascii="宋体" w:hAnsi="宋体" w:cs="宋体"/>
          <w:bCs/>
          <w:color w:val="000000" w:themeColor="text1"/>
          <w:kern w:val="0"/>
          <w:sz w:val="28"/>
          <w:szCs w:val="28"/>
          <w14:textFill>
            <w14:solidFill>
              <w14:schemeClr w14:val="tx1"/>
            </w14:solidFill>
          </w14:textFill>
        </w:rPr>
        <w:t>协会秘书处依据本办法对申报材料进行形式审查。</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eastAsia="宋体" w:cs="宋体"/>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专家</w:t>
      </w:r>
      <w:r>
        <w:rPr>
          <w:rFonts w:hint="eastAsia" w:ascii="宋体" w:hAnsi="宋体" w:cs="宋体"/>
          <w:bCs/>
          <w:color w:val="000000" w:themeColor="text1"/>
          <w:sz w:val="28"/>
          <w:szCs w:val="28"/>
          <w:lang w:eastAsia="zh-CN"/>
          <w14:textFill>
            <w14:solidFill>
              <w14:schemeClr w14:val="tx1"/>
            </w14:solidFill>
          </w14:textFill>
        </w:rPr>
        <w:t>评审</w:t>
      </w:r>
      <w:r>
        <w:rPr>
          <w:rFonts w:hint="eastAsia" w:ascii="宋体" w:hAnsi="宋体" w:cs="宋体"/>
          <w:bCs/>
          <w:color w:val="000000" w:themeColor="text1"/>
          <w:sz w:val="28"/>
          <w:szCs w:val="28"/>
          <w14:textFill>
            <w14:solidFill>
              <w14:schemeClr w14:val="tx1"/>
            </w14:solidFill>
          </w14:textFill>
        </w:rPr>
        <w:t>。由协会秘书处根据形式审查情况，从化工工程建设高级专家库中遴选专家，组成若干评审小组，对通过形式审查的论文进行初评打分，限额产生</w:t>
      </w:r>
      <w:r>
        <w:rPr>
          <w:rFonts w:hint="eastAsia" w:ascii="宋体" w:hAnsi="宋体" w:cs="宋体"/>
          <w:bCs/>
          <w:color w:val="000000" w:themeColor="text1"/>
          <w:sz w:val="28"/>
          <w:szCs w:val="28"/>
          <w:lang w:eastAsia="zh-CN"/>
          <w14:textFill>
            <w14:solidFill>
              <w14:schemeClr w14:val="tx1"/>
            </w14:solidFill>
          </w14:textFill>
        </w:rPr>
        <w:t>优秀论文建议名单并提出等级建议，协会秘书处对各评审组的评审情况进行汇总后，向评审委员会提出优秀论文</w:t>
      </w:r>
      <w:r>
        <w:rPr>
          <w:rFonts w:hint="eastAsia" w:ascii="宋体" w:hAnsi="宋体" w:eastAsia="宋体" w:cs="宋体"/>
          <w:color w:val="000000" w:themeColor="text1"/>
          <w:sz w:val="28"/>
          <w:szCs w:val="28"/>
          <w14:textFill>
            <w14:solidFill>
              <w14:schemeClr w14:val="tx1"/>
            </w14:solidFill>
          </w14:textFill>
        </w:rPr>
        <w:t>等级建议</w:t>
      </w:r>
      <w:r>
        <w:rPr>
          <w:rFonts w:hint="eastAsia" w:ascii="宋体" w:hAnsi="宋体" w:cs="宋体"/>
          <w:color w:val="000000" w:themeColor="text1"/>
          <w:sz w:val="28"/>
          <w:szCs w:val="28"/>
          <w:lang w:eastAsia="zh-CN"/>
          <w14:textFill>
            <w14:solidFill>
              <w14:schemeClr w14:val="tx1"/>
            </w14:solidFill>
          </w14:textFill>
        </w:rPr>
        <w:t>报告</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评审委员会审定。评审委员会召开会议，对通过专家评审产生的</w:t>
      </w:r>
      <w:r>
        <w:rPr>
          <w:rFonts w:hint="eastAsia" w:ascii="宋体" w:hAnsi="宋体" w:cs="宋体"/>
          <w:bCs/>
          <w:color w:val="000000" w:themeColor="text1"/>
          <w:sz w:val="28"/>
          <w:szCs w:val="28"/>
          <w:lang w:eastAsia="zh-CN"/>
          <w14:textFill>
            <w14:solidFill>
              <w14:schemeClr w14:val="tx1"/>
            </w14:solidFill>
          </w14:textFill>
        </w:rPr>
        <w:t>优秀论文建议名单</w:t>
      </w:r>
      <w:r>
        <w:rPr>
          <w:rFonts w:hint="eastAsia" w:ascii="宋体" w:hAnsi="宋体" w:cs="宋体"/>
          <w:color w:val="000000" w:themeColor="text1"/>
          <w:sz w:val="28"/>
          <w:szCs w:val="28"/>
          <w:lang w:eastAsia="zh-CN"/>
          <w14:textFill>
            <w14:solidFill>
              <w14:schemeClr w14:val="tx1"/>
            </w14:solidFill>
          </w14:textFill>
        </w:rPr>
        <w:t>及等级建议报告进行审定，最终确定优秀论文名单及等级。</w:t>
      </w:r>
    </w:p>
    <w:p>
      <w:pPr>
        <w:keepNext w:val="0"/>
        <w:keepLines w:val="0"/>
        <w:pageBreakBefore w:val="0"/>
        <w:kinsoku/>
        <w:wordWrap/>
        <w:overflowPunct/>
        <w:topLinePunct w:val="0"/>
        <w:autoSpaceDE/>
        <w:autoSpaceDN/>
        <w:bidi w:val="0"/>
        <w:spacing w:line="500" w:lineRule="exact"/>
        <w:jc w:val="center"/>
        <w:textAlignment w:val="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第</w:t>
      </w:r>
      <w:r>
        <w:rPr>
          <w:rFonts w:hint="eastAsia" w:ascii="宋体" w:hAnsi="宋体" w:cs="宋体"/>
          <w:b/>
          <w:color w:val="000000" w:themeColor="text1"/>
          <w:sz w:val="28"/>
          <w:szCs w:val="28"/>
          <w:lang w:eastAsia="zh-CN"/>
          <w14:textFill>
            <w14:solidFill>
              <w14:schemeClr w14:val="tx1"/>
            </w14:solidFill>
          </w14:textFill>
        </w:rPr>
        <w:t>六</w:t>
      </w:r>
      <w:r>
        <w:rPr>
          <w:rFonts w:hint="eastAsia" w:ascii="宋体" w:hAnsi="宋体" w:cs="宋体"/>
          <w:b/>
          <w:color w:val="000000" w:themeColor="text1"/>
          <w:sz w:val="28"/>
          <w:szCs w:val="28"/>
          <w14:textFill>
            <w14:solidFill>
              <w14:schemeClr w14:val="tx1"/>
            </w14:solidFill>
          </w14:textFill>
        </w:rPr>
        <w:t>章 其他</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中国化工</w:t>
      </w:r>
      <w:r>
        <w:rPr>
          <w:rFonts w:hint="eastAsia" w:ascii="宋体" w:hAnsi="宋体" w:cs="宋体"/>
          <w:bCs/>
          <w:color w:val="000000" w:themeColor="text1"/>
          <w:sz w:val="28"/>
          <w:szCs w:val="28"/>
          <w:lang w:eastAsia="zh-CN"/>
          <w14:textFill>
            <w14:solidFill>
              <w14:schemeClr w14:val="tx1"/>
            </w14:solidFill>
          </w14:textFill>
        </w:rPr>
        <w:t>建设</w:t>
      </w:r>
      <w:r>
        <w:rPr>
          <w:rFonts w:hint="eastAsia" w:ascii="宋体" w:hAnsi="宋体" w:cs="宋体"/>
          <w:bCs/>
          <w:color w:val="000000" w:themeColor="text1"/>
          <w:sz w:val="28"/>
          <w:szCs w:val="28"/>
          <w14:textFill>
            <w14:solidFill>
              <w14:schemeClr w14:val="tx1"/>
            </w14:solidFill>
          </w14:textFill>
        </w:rPr>
        <w:t>企业协会对优秀科技论文获得者颁发证书。</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获</w:t>
      </w:r>
      <w:r>
        <w:rPr>
          <w:rFonts w:hint="eastAsia" w:ascii="宋体" w:hAnsi="宋体" w:cs="宋体"/>
          <w:bCs/>
          <w:color w:val="000000" w:themeColor="text1"/>
          <w:kern w:val="0"/>
          <w:sz w:val="28"/>
          <w:szCs w:val="28"/>
          <w:lang w:eastAsia="zh-CN"/>
          <w14:textFill>
            <w14:solidFill>
              <w14:schemeClr w14:val="tx1"/>
            </w14:solidFill>
          </w14:textFill>
        </w:rPr>
        <w:t>一</w:t>
      </w:r>
      <w:r>
        <w:rPr>
          <w:rFonts w:hint="eastAsia" w:ascii="宋体" w:hAnsi="宋体" w:cs="宋体"/>
          <w:bCs/>
          <w:color w:val="000000" w:themeColor="text1"/>
          <w:kern w:val="0"/>
          <w:sz w:val="28"/>
          <w:szCs w:val="28"/>
          <w14:textFill>
            <w14:solidFill>
              <w14:schemeClr w14:val="tx1"/>
            </w14:solidFill>
          </w14:textFill>
        </w:rPr>
        <w:t>等和</w:t>
      </w:r>
      <w:r>
        <w:rPr>
          <w:rFonts w:hint="eastAsia" w:ascii="宋体" w:hAnsi="宋体" w:cs="宋体"/>
          <w:bCs/>
          <w:color w:val="000000" w:themeColor="text1"/>
          <w:kern w:val="0"/>
          <w:sz w:val="28"/>
          <w:szCs w:val="28"/>
          <w:lang w:eastAsia="zh-CN"/>
          <w14:textFill>
            <w14:solidFill>
              <w14:schemeClr w14:val="tx1"/>
            </w14:solidFill>
          </w14:textFill>
        </w:rPr>
        <w:t>二</w:t>
      </w:r>
      <w:r>
        <w:rPr>
          <w:rFonts w:hint="eastAsia" w:ascii="宋体" w:hAnsi="宋体" w:cs="宋体"/>
          <w:bCs/>
          <w:color w:val="000000" w:themeColor="text1"/>
          <w:kern w:val="0"/>
          <w:sz w:val="28"/>
          <w:szCs w:val="28"/>
          <w14:textFill>
            <w14:solidFill>
              <w14:schemeClr w14:val="tx1"/>
            </w14:solidFill>
          </w14:textFill>
        </w:rPr>
        <w:t>等的</w:t>
      </w:r>
      <w:r>
        <w:rPr>
          <w:rFonts w:hint="eastAsia" w:ascii="宋体" w:hAnsi="宋体" w:cs="宋体"/>
          <w:bCs/>
          <w:color w:val="000000" w:themeColor="text1"/>
          <w:kern w:val="0"/>
          <w:sz w:val="28"/>
          <w:szCs w:val="28"/>
          <w:lang w:eastAsia="zh-CN"/>
          <w14:textFill>
            <w14:solidFill>
              <w14:schemeClr w14:val="tx1"/>
            </w14:solidFill>
          </w14:textFill>
        </w:rPr>
        <w:t>优秀</w:t>
      </w:r>
      <w:r>
        <w:rPr>
          <w:rFonts w:hint="eastAsia" w:ascii="宋体" w:hAnsi="宋体" w:cs="宋体"/>
          <w:bCs/>
          <w:color w:val="000000" w:themeColor="text1"/>
          <w:kern w:val="0"/>
          <w:sz w:val="28"/>
          <w:szCs w:val="28"/>
          <w14:textFill>
            <w14:solidFill>
              <w14:schemeClr w14:val="tx1"/>
            </w14:solidFill>
          </w14:textFill>
        </w:rPr>
        <w:t>论文，推荐在中国化工</w:t>
      </w:r>
      <w:r>
        <w:rPr>
          <w:rFonts w:hint="eastAsia" w:ascii="宋体" w:hAnsi="宋体" w:cs="宋体"/>
          <w:bCs/>
          <w:color w:val="000000" w:themeColor="text1"/>
          <w:kern w:val="0"/>
          <w:sz w:val="28"/>
          <w:szCs w:val="28"/>
          <w:lang w:eastAsia="zh-CN"/>
          <w14:textFill>
            <w14:solidFill>
              <w14:schemeClr w14:val="tx1"/>
            </w14:solidFill>
          </w14:textFill>
        </w:rPr>
        <w:t>建设</w:t>
      </w:r>
      <w:r>
        <w:rPr>
          <w:rFonts w:hint="eastAsia" w:ascii="宋体" w:hAnsi="宋体" w:cs="宋体"/>
          <w:bCs/>
          <w:color w:val="000000" w:themeColor="text1"/>
          <w:kern w:val="0"/>
          <w:sz w:val="28"/>
          <w:szCs w:val="28"/>
          <w14:textFill>
            <w14:solidFill>
              <w14:schemeClr w14:val="tx1"/>
            </w14:solidFill>
          </w14:textFill>
        </w:rPr>
        <w:t>企业协会主办的《石油化工建设》杂志发表。</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kern w:val="0"/>
          <w:sz w:val="28"/>
          <w:szCs w:val="28"/>
          <w:lang w:eastAsia="zh-CN"/>
          <w14:textFill>
            <w14:solidFill>
              <w14:schemeClr w14:val="tx1"/>
            </w14:solidFill>
          </w14:textFill>
        </w:rPr>
        <w:t>协会每年对征集的优秀论文进行</w:t>
      </w:r>
      <w:r>
        <w:rPr>
          <w:rFonts w:hint="eastAsia" w:ascii="宋体" w:hAnsi="宋体" w:cs="宋体"/>
          <w:bCs/>
          <w:color w:val="000000" w:themeColor="text1"/>
          <w:kern w:val="0"/>
          <w:sz w:val="28"/>
          <w:szCs w:val="28"/>
          <w14:textFill>
            <w14:solidFill>
              <w14:schemeClr w14:val="tx1"/>
            </w14:solidFill>
          </w14:textFill>
        </w:rPr>
        <w:t>汇编</w:t>
      </w:r>
      <w:r>
        <w:rPr>
          <w:rFonts w:hint="eastAsia" w:ascii="宋体" w:hAnsi="宋体" w:cs="宋体"/>
          <w:bCs/>
          <w:color w:val="000000" w:themeColor="text1"/>
          <w:kern w:val="0"/>
          <w:sz w:val="28"/>
          <w:szCs w:val="28"/>
          <w:lang w:eastAsia="zh-CN"/>
          <w14:textFill>
            <w14:solidFill>
              <w14:schemeClr w14:val="tx1"/>
            </w14:solidFill>
          </w14:textFill>
        </w:rPr>
        <w:t>，出版专辑。</w:t>
      </w:r>
    </w:p>
    <w:p>
      <w:pPr>
        <w:keepNext w:val="0"/>
        <w:keepLines w:val="0"/>
        <w:pageBreakBefore w:val="0"/>
        <w:numPr>
          <w:ilvl w:val="0"/>
          <w:numId w:val="2"/>
        </w:numPr>
        <w:kinsoku/>
        <w:wordWrap/>
        <w:overflowPunct/>
        <w:topLinePunct w:val="0"/>
        <w:autoSpaceDE/>
        <w:autoSpaceDN/>
        <w:bidi w:val="0"/>
        <w:spacing w:line="500" w:lineRule="exact"/>
        <w:textAlignment w:val="auto"/>
        <w:rPr>
          <w:rFonts w:hint="eastAsia"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lang w:eastAsia="zh-CN"/>
          <w14:textFill>
            <w14:solidFill>
              <w14:schemeClr w14:val="tx1"/>
            </w14:solidFill>
          </w14:textFill>
        </w:rPr>
        <w:t>协会对年度征集的优秀论文，以不同的形式，分专业、设专题，组织开展交流、研讨、发布和推广。</w:t>
      </w:r>
    </w:p>
    <w:p>
      <w:pPr>
        <w:keepNext w:val="0"/>
        <w:keepLines w:val="0"/>
        <w:pageBreakBefore w:val="0"/>
        <w:numPr>
          <w:ilvl w:val="0"/>
          <w:numId w:val="2"/>
        </w:numPr>
        <w:kinsoku/>
        <w:wordWrap/>
        <w:overflowPunct/>
        <w:topLinePunct w:val="0"/>
        <w:autoSpaceDE/>
        <w:autoSpaceDN/>
        <w:bidi w:val="0"/>
        <w:spacing w:line="500" w:lineRule="exact"/>
        <w:textAlignment w:val="auto"/>
        <w:rPr>
          <w:rFonts w:hint="eastAsia"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优秀科技论文评审实行回避制度，与被评审的论文完成人、完成单位有利害关系的评审专家应当回避。</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lang w:eastAsia="zh-CN"/>
          <w14:textFill>
            <w14:solidFill>
              <w14:schemeClr w14:val="tx1"/>
            </w14:solidFill>
          </w14:textFill>
        </w:rPr>
        <w:t>对于</w:t>
      </w:r>
      <w:r>
        <w:rPr>
          <w:rFonts w:hint="eastAsia"/>
          <w:color w:val="000000" w:themeColor="text1"/>
          <w:sz w:val="28"/>
          <w:szCs w:val="28"/>
          <w14:textFill>
            <w14:solidFill>
              <w14:schemeClr w14:val="tx1"/>
            </w14:solidFill>
          </w14:textFill>
        </w:rPr>
        <w:t>弄虚作假</w:t>
      </w:r>
      <w:r>
        <w:rPr>
          <w:rFonts w:hint="eastAsia"/>
          <w:color w:val="000000" w:themeColor="text1"/>
          <w:sz w:val="28"/>
          <w:szCs w:val="28"/>
          <w:lang w:eastAsia="zh-CN"/>
          <w14:textFill>
            <w14:solidFill>
              <w14:schemeClr w14:val="tx1"/>
            </w14:solidFill>
          </w14:textFill>
        </w:rPr>
        <w:t>、抄袭和剽窃他人成果或采取不正当手段获得的优秀论文</w:t>
      </w:r>
      <w:r>
        <w:rPr>
          <w:rFonts w:hint="eastAsia"/>
          <w:color w:val="000000" w:themeColor="text1"/>
          <w:sz w:val="28"/>
          <w:szCs w:val="28"/>
          <w14:textFill>
            <w14:solidFill>
              <w14:schemeClr w14:val="tx1"/>
            </w14:solidFill>
          </w14:textFill>
        </w:rPr>
        <w:t>，</w:t>
      </w:r>
      <w:r>
        <w:rPr>
          <w:rFonts w:hint="eastAsia"/>
          <w:color w:val="000000" w:themeColor="text1"/>
          <w:sz w:val="28"/>
          <w:szCs w:val="28"/>
          <w:lang w:eastAsia="zh-CN"/>
          <w14:textFill>
            <w14:solidFill>
              <w14:schemeClr w14:val="tx1"/>
            </w14:solidFill>
          </w14:textFill>
        </w:rPr>
        <w:t>协会将</w:t>
      </w:r>
      <w:r>
        <w:rPr>
          <w:rFonts w:hint="eastAsia"/>
          <w:color w:val="000000" w:themeColor="text1"/>
          <w:sz w:val="28"/>
          <w:szCs w:val="28"/>
          <w14:textFill>
            <w14:solidFill>
              <w14:schemeClr w14:val="tx1"/>
            </w14:solidFill>
          </w14:textFill>
        </w:rPr>
        <w:t>撤消其</w:t>
      </w:r>
      <w:r>
        <w:rPr>
          <w:rFonts w:hint="eastAsia"/>
          <w:color w:val="000000" w:themeColor="text1"/>
          <w:sz w:val="28"/>
          <w:szCs w:val="28"/>
          <w:lang w:eastAsia="zh-CN"/>
          <w14:textFill>
            <w14:solidFill>
              <w14:schemeClr w14:val="tx1"/>
            </w14:solidFill>
          </w14:textFill>
        </w:rPr>
        <w:t>资格</w:t>
      </w:r>
      <w:r>
        <w:rPr>
          <w:rFonts w:hint="eastAsia"/>
          <w:color w:val="000000" w:themeColor="text1"/>
          <w:sz w:val="28"/>
          <w:szCs w:val="28"/>
          <w14:textFill>
            <w14:solidFill>
              <w14:schemeClr w14:val="tx1"/>
            </w14:solidFill>
          </w14:textFill>
        </w:rPr>
        <w:t>，追回证书。</w:t>
      </w:r>
    </w:p>
    <w:p>
      <w:pPr>
        <w:keepNext w:val="0"/>
        <w:keepLines w:val="0"/>
        <w:pageBreakBefore w:val="0"/>
        <w:kinsoku/>
        <w:wordWrap/>
        <w:overflowPunct/>
        <w:topLinePunct w:val="0"/>
        <w:autoSpaceDE/>
        <w:autoSpaceDN/>
        <w:bidi w:val="0"/>
        <w:spacing w:line="500" w:lineRule="exact"/>
        <w:jc w:val="center"/>
        <w:textAlignment w:val="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第</w:t>
      </w:r>
      <w:r>
        <w:rPr>
          <w:rFonts w:hint="eastAsia" w:ascii="宋体" w:hAnsi="宋体" w:cs="宋体"/>
          <w:b/>
          <w:color w:val="000000" w:themeColor="text1"/>
          <w:sz w:val="28"/>
          <w:szCs w:val="28"/>
          <w:lang w:eastAsia="zh-CN"/>
          <w14:textFill>
            <w14:solidFill>
              <w14:schemeClr w14:val="tx1"/>
            </w14:solidFill>
          </w14:textFill>
        </w:rPr>
        <w:t>七</w:t>
      </w:r>
      <w:r>
        <w:rPr>
          <w:rFonts w:hint="eastAsia" w:ascii="宋体" w:hAnsi="宋体" w:cs="宋体"/>
          <w:b/>
          <w:color w:val="000000" w:themeColor="text1"/>
          <w:sz w:val="28"/>
          <w:szCs w:val="28"/>
          <w14:textFill>
            <w14:solidFill>
              <w14:schemeClr w14:val="tx1"/>
            </w14:solidFill>
          </w14:textFill>
        </w:rPr>
        <w:t>章 附则</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本办法由中国化工</w:t>
      </w:r>
      <w:r>
        <w:rPr>
          <w:rFonts w:hint="eastAsia" w:ascii="宋体" w:hAnsi="宋体" w:cs="宋体"/>
          <w:bCs/>
          <w:color w:val="000000" w:themeColor="text1"/>
          <w:sz w:val="28"/>
          <w:szCs w:val="28"/>
          <w:lang w:eastAsia="zh-CN"/>
          <w14:textFill>
            <w14:solidFill>
              <w14:schemeClr w14:val="tx1"/>
            </w14:solidFill>
          </w14:textFill>
        </w:rPr>
        <w:t>建设</w:t>
      </w:r>
      <w:r>
        <w:rPr>
          <w:rFonts w:hint="eastAsia" w:ascii="宋体" w:hAnsi="宋体" w:cs="宋体"/>
          <w:bCs/>
          <w:color w:val="000000" w:themeColor="text1"/>
          <w:sz w:val="28"/>
          <w:szCs w:val="28"/>
          <w14:textFill>
            <w14:solidFill>
              <w14:schemeClr w14:val="tx1"/>
            </w14:solidFill>
          </w14:textFill>
        </w:rPr>
        <w:t>企业协会</w:t>
      </w:r>
      <w:r>
        <w:rPr>
          <w:rFonts w:hint="eastAsia" w:ascii="宋体" w:hAnsi="宋体" w:cs="宋体"/>
          <w:bCs/>
          <w:color w:val="000000" w:themeColor="text1"/>
          <w:kern w:val="0"/>
          <w:sz w:val="28"/>
          <w:szCs w:val="28"/>
          <w14:textFill>
            <w14:solidFill>
              <w14:schemeClr w14:val="tx1"/>
            </w14:solidFill>
          </w14:textFill>
        </w:rPr>
        <w:t>秘书处</w:t>
      </w:r>
      <w:r>
        <w:rPr>
          <w:rFonts w:hint="eastAsia" w:ascii="宋体" w:hAnsi="宋体" w:cs="宋体"/>
          <w:bCs/>
          <w:color w:val="000000" w:themeColor="text1"/>
          <w:sz w:val="28"/>
          <w:szCs w:val="28"/>
          <w14:textFill>
            <w14:solidFill>
              <w14:schemeClr w14:val="tx1"/>
            </w14:solidFill>
          </w14:textFill>
        </w:rPr>
        <w:t>负责解释。</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本办法自发布之日起施行。</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ascii="宋体" w:hAnsi="宋体" w:cs="宋体"/>
          <w:bCs/>
          <w:color w:val="000000" w:themeColor="text1"/>
          <w:kern w:val="0"/>
          <w:sz w:val="28"/>
          <w:szCs w:val="28"/>
          <w14:textFill>
            <w14:solidFill>
              <w14:schemeClr w14:val="tx1"/>
            </w14:solidFill>
          </w14:textFill>
        </w:rPr>
      </w:pPr>
    </w:p>
    <w:p>
      <w:pPr>
        <w:keepNext w:val="0"/>
        <w:keepLines w:val="0"/>
        <w:pageBreakBefore w:val="0"/>
        <w:kinsoku/>
        <w:wordWrap/>
        <w:overflowPunct/>
        <w:topLinePunct w:val="0"/>
        <w:autoSpaceDE/>
        <w:autoSpaceDN/>
        <w:bidi w:val="0"/>
        <w:spacing w:line="500" w:lineRule="exact"/>
        <w:ind w:firstLine="560" w:firstLineChars="200"/>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附件1：</w:t>
      </w:r>
      <w:r>
        <w:rPr>
          <w:rFonts w:hint="eastAsia" w:ascii="宋体" w:hAnsi="宋体" w:cs="宋体"/>
          <w:bCs/>
          <w:color w:val="000000" w:themeColor="text1"/>
          <w:sz w:val="28"/>
          <w:szCs w:val="28"/>
          <w14:textFill>
            <w14:solidFill>
              <w14:schemeClr w14:val="tx1"/>
            </w14:solidFill>
          </w14:textFill>
        </w:rPr>
        <w:t>中国化工</w:t>
      </w:r>
      <w:r>
        <w:rPr>
          <w:rFonts w:hint="eastAsia" w:ascii="宋体" w:hAnsi="宋体" w:cs="宋体"/>
          <w:bCs/>
          <w:color w:val="000000" w:themeColor="text1"/>
          <w:sz w:val="28"/>
          <w:szCs w:val="28"/>
          <w:lang w:eastAsia="zh-CN"/>
          <w14:textFill>
            <w14:solidFill>
              <w14:schemeClr w14:val="tx1"/>
            </w14:solidFill>
          </w14:textFill>
        </w:rPr>
        <w:t>建设</w:t>
      </w:r>
      <w:bookmarkStart w:id="0" w:name="_GoBack"/>
      <w:bookmarkEnd w:id="0"/>
      <w:r>
        <w:rPr>
          <w:rFonts w:hint="eastAsia" w:ascii="宋体" w:hAnsi="宋体" w:cs="宋体"/>
          <w:bCs/>
          <w:color w:val="000000" w:themeColor="text1"/>
          <w:sz w:val="28"/>
          <w:szCs w:val="28"/>
          <w14:textFill>
            <w14:solidFill>
              <w14:schemeClr w14:val="tx1"/>
            </w14:solidFill>
          </w14:textFill>
        </w:rPr>
        <w:t>企业协会优秀科技论文申报书</w:t>
      </w:r>
    </w:p>
    <w:p>
      <w:pPr>
        <w:keepNext w:val="0"/>
        <w:keepLines w:val="0"/>
        <w:pageBreakBefore w:val="0"/>
        <w:kinsoku/>
        <w:wordWrap/>
        <w:overflowPunct/>
        <w:topLinePunct w:val="0"/>
        <w:autoSpaceDE/>
        <w:autoSpaceDN/>
        <w:bidi w:val="0"/>
        <w:spacing w:line="500" w:lineRule="exact"/>
        <w:ind w:firstLine="560" w:firstLineChars="200"/>
        <w:textAlignment w:val="auto"/>
      </w:pPr>
      <w:r>
        <w:rPr>
          <w:rFonts w:hint="eastAsia" w:ascii="宋体" w:hAnsi="宋体" w:cs="宋体"/>
          <w:bCs/>
          <w:color w:val="000000" w:themeColor="text1"/>
          <w:kern w:val="0"/>
          <w:sz w:val="28"/>
          <w:szCs w:val="28"/>
          <w14:textFill>
            <w14:solidFill>
              <w14:schemeClr w14:val="tx1"/>
            </w14:solidFill>
          </w14:textFill>
        </w:rPr>
        <w:t>附件2：科技论文编写指南</w:t>
      </w:r>
    </w:p>
    <w:sectPr>
      <w:headerReference r:id="rId3" w:type="default"/>
      <w:footerReference r:id="rId4" w:type="default"/>
      <w:pgSz w:w="11906" w:h="16838"/>
      <w:pgMar w:top="1440" w:right="1800" w:bottom="1440" w:left="1800" w:header="851" w:footer="992" w:gutter="0"/>
      <w:cols w:space="425" w:num="1"/>
      <w:docGrid w:type="lines" w:linePitch="4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方正黑体简体">
    <w:altName w:val="Arial Unicode MS"/>
    <w:panose1 w:val="00000000000000000000"/>
    <w:charset w:val="86"/>
    <w:family w:val="auto"/>
    <w:pitch w:val="default"/>
    <w:sig w:usb0="00000000" w:usb1="00000000" w:usb2="00000010" w:usb3="00000000" w:csb0="00040000" w:csb1="00000000"/>
  </w:font>
  <w:font w:name="方正楷体简体">
    <w:altName w:val="Arial Unicode MS"/>
    <w:panose1 w:val="00000000000000000000"/>
    <w:charset w:val="86"/>
    <w:family w:val="auto"/>
    <w:pitch w:val="default"/>
    <w:sig w:usb0="00000000" w:usb1="00000000" w:usb2="00000010" w:usb3="00000000" w:csb0="00040000" w:csb1="00000000"/>
  </w:font>
  <w:font w:name="方正仿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3FA689"/>
    <w:multiLevelType w:val="singleLevel"/>
    <w:tmpl w:val="AA3FA689"/>
    <w:lvl w:ilvl="0" w:tentative="0">
      <w:start w:val="1"/>
      <w:numFmt w:val="chineseCounting"/>
      <w:suff w:val="space"/>
      <w:lvlText w:val="第%1条"/>
      <w:lvlJc w:val="left"/>
      <w:rPr>
        <w:rFonts w:hint="eastAsia"/>
      </w:rPr>
    </w:lvl>
  </w:abstractNum>
  <w:abstractNum w:abstractNumId="1">
    <w:nsid w:val="F0910BBB"/>
    <w:multiLevelType w:val="singleLevel"/>
    <w:tmpl w:val="F0910BBB"/>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ZTMwN2VmMDEzMTYwYjIzMmJlYWM2OTQzZmEwMTgifQ=="/>
  </w:docVars>
  <w:rsids>
    <w:rsidRoot w:val="00000000"/>
    <w:rsid w:val="01F0524C"/>
    <w:rsid w:val="48F3101A"/>
    <w:rsid w:val="50D74A4C"/>
    <w:rsid w:val="516E1E1B"/>
    <w:rsid w:val="78852075"/>
    <w:rsid w:val="7AC60C64"/>
    <w:rsid w:val="7C552BC0"/>
    <w:rsid w:val="7DEB196C"/>
    <w:rsid w:val="7E5F49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napToGrid w:val="0"/>
      <w:spacing w:line="560" w:lineRule="exact"/>
      <w:jc w:val="center"/>
      <w:outlineLvl w:val="0"/>
    </w:pPr>
    <w:rPr>
      <w:rFonts w:ascii="方正小标宋简体" w:eastAsia="方正小标宋简体"/>
      <w:bCs/>
      <w:kern w:val="44"/>
      <w:sz w:val="44"/>
      <w:szCs w:val="44"/>
    </w:rPr>
  </w:style>
  <w:style w:type="paragraph" w:styleId="3">
    <w:name w:val="heading 2"/>
    <w:basedOn w:val="1"/>
    <w:next w:val="1"/>
    <w:qFormat/>
    <w:uiPriority w:val="0"/>
    <w:pPr>
      <w:keepNext/>
      <w:keepLines/>
      <w:adjustRightInd w:val="0"/>
      <w:snapToGrid w:val="0"/>
      <w:spacing w:line="560" w:lineRule="exact"/>
      <w:ind w:firstLine="640" w:firstLineChars="200"/>
      <w:outlineLvl w:val="1"/>
    </w:pPr>
    <w:rPr>
      <w:rFonts w:ascii="方正小标宋简体" w:hAnsi="Arial" w:eastAsia="方正小标宋简体"/>
      <w:bCs/>
      <w:sz w:val="32"/>
      <w:szCs w:val="32"/>
    </w:rPr>
  </w:style>
  <w:style w:type="paragraph" w:styleId="4">
    <w:name w:val="heading 3"/>
    <w:basedOn w:val="1"/>
    <w:next w:val="1"/>
    <w:qFormat/>
    <w:uiPriority w:val="0"/>
    <w:pPr>
      <w:keepNext/>
      <w:keepLines/>
      <w:adjustRightInd w:val="0"/>
      <w:snapToGrid w:val="0"/>
      <w:spacing w:line="560" w:lineRule="exact"/>
      <w:ind w:firstLine="640" w:firstLineChars="200"/>
      <w:outlineLvl w:val="2"/>
    </w:pPr>
    <w:rPr>
      <w:rFonts w:ascii="方正黑体简体" w:hAnsi="方正黑体简体" w:eastAsia="方正黑体简体"/>
      <w:sz w:val="32"/>
      <w:szCs w:val="32"/>
    </w:rPr>
  </w:style>
  <w:style w:type="paragraph" w:styleId="5">
    <w:name w:val="heading 4"/>
    <w:basedOn w:val="1"/>
    <w:next w:val="1"/>
    <w:qFormat/>
    <w:uiPriority w:val="0"/>
    <w:pPr>
      <w:keepNext/>
      <w:keepLines/>
      <w:adjustRightInd w:val="0"/>
      <w:snapToGrid w:val="0"/>
      <w:spacing w:line="560" w:lineRule="exact"/>
      <w:ind w:firstLine="640" w:firstLineChars="200"/>
      <w:outlineLvl w:val="3"/>
    </w:pPr>
    <w:rPr>
      <w:rFonts w:ascii="方正楷体简体" w:hAnsi="Arial" w:eastAsia="方正楷体简体"/>
      <w:bCs/>
      <w:sz w:val="32"/>
      <w:szCs w:val="32"/>
    </w:rPr>
  </w:style>
  <w:style w:type="paragraph" w:styleId="6">
    <w:name w:val="heading 5"/>
    <w:basedOn w:val="1"/>
    <w:next w:val="1"/>
    <w:qFormat/>
    <w:uiPriority w:val="0"/>
    <w:pPr>
      <w:keepNext/>
      <w:keepLines/>
      <w:adjustRightInd w:val="0"/>
      <w:snapToGrid w:val="0"/>
      <w:spacing w:line="560" w:lineRule="exact"/>
      <w:ind w:firstLine="643" w:firstLineChars="200"/>
      <w:outlineLvl w:val="4"/>
    </w:pPr>
    <w:rPr>
      <w:rFonts w:ascii="方正仿宋简体" w:eastAsia="方正仿宋简体"/>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simjour"/>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1521</Words>
  <Characters>1532</Characters>
  <Lines>0</Lines>
  <Paragraphs>0</Paragraphs>
  <TotalTime>20</TotalTime>
  <ScaleCrop>false</ScaleCrop>
  <LinksUpToDate>false</LinksUpToDate>
  <CharactersWithSpaces>1534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2024-01-09T02:41:44Z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EBCA056FC28847EBA73533043AE25E53</vt:lpwstr>
  </property>
</Properties>
</file>